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W w:w="5677" w:type="pct"/>
        <w:tblInd w:w="-1085" w:type="dxa"/>
        <w:tblLayout w:type="fixed"/>
        <w:tblLook w:val="04A0" w:firstRow="1" w:lastRow="0" w:firstColumn="1" w:lastColumn="0" w:noHBand="0" w:noVBand="1"/>
      </w:tblPr>
      <w:tblGrid>
        <w:gridCol w:w="421"/>
        <w:gridCol w:w="2231"/>
        <w:gridCol w:w="3017"/>
        <w:gridCol w:w="603"/>
        <w:gridCol w:w="904"/>
        <w:gridCol w:w="1270"/>
        <w:gridCol w:w="2170"/>
      </w:tblGrid>
      <w:tr w:rsidR="00925A60" w:rsidRPr="005701E7" w:rsidTr="00925A60">
        <w:trPr>
          <w:trHeight w:val="255"/>
        </w:trPr>
        <w:tc>
          <w:tcPr>
            <w:tcW w:w="198" w:type="pct"/>
            <w:vMerge w:val="restart"/>
            <w:shd w:val="clear" w:color="auto" w:fill="7030A0"/>
            <w:hideMark/>
          </w:tcPr>
          <w:p w:rsidR="00925A60" w:rsidRPr="005701E7" w:rsidRDefault="00925A60" w:rsidP="00542B30">
            <w:pPr>
              <w:rPr>
                <w:rFonts w:asciiTheme="majorHAnsi" w:hAnsiTheme="majorHAnsi" w:cstheme="majorHAnsi"/>
                <w:b/>
                <w:bCs/>
                <w:color w:val="FFFFFF" w:themeColor="background1"/>
              </w:rPr>
            </w:pPr>
            <w:r w:rsidRPr="005701E7">
              <w:rPr>
                <w:rFonts w:asciiTheme="majorHAnsi" w:hAnsiTheme="majorHAnsi" w:cstheme="majorHAnsi"/>
                <w:b/>
                <w:bCs/>
                <w:color w:val="FFFFFF" w:themeColor="background1"/>
              </w:rPr>
              <w:t> </w:t>
            </w:r>
          </w:p>
        </w:tc>
        <w:tc>
          <w:tcPr>
            <w:tcW w:w="1051" w:type="pct"/>
            <w:vMerge w:val="restart"/>
            <w:shd w:val="clear" w:color="auto" w:fill="7030A0"/>
            <w:vAlign w:val="center"/>
            <w:hideMark/>
          </w:tcPr>
          <w:p w:rsidR="00925A60" w:rsidRPr="005701E7" w:rsidRDefault="00925A60" w:rsidP="00542B30">
            <w:pPr>
              <w:jc w:val="center"/>
              <w:rPr>
                <w:rFonts w:asciiTheme="majorHAnsi" w:hAnsiTheme="majorHAnsi" w:cstheme="majorHAnsi"/>
                <w:b/>
                <w:bCs/>
                <w:color w:val="FFFFFF" w:themeColor="background1"/>
              </w:rPr>
            </w:pPr>
            <w:r w:rsidRPr="005701E7">
              <w:rPr>
                <w:rFonts w:asciiTheme="majorHAnsi" w:hAnsiTheme="majorHAnsi" w:cstheme="majorHAnsi"/>
                <w:b/>
                <w:bCs/>
                <w:color w:val="FFFFFF" w:themeColor="background1"/>
              </w:rPr>
              <w:t>Results chain</w:t>
            </w:r>
          </w:p>
        </w:tc>
        <w:tc>
          <w:tcPr>
            <w:tcW w:w="1421" w:type="pct"/>
            <w:vMerge w:val="restart"/>
            <w:shd w:val="clear" w:color="auto" w:fill="7030A0"/>
            <w:vAlign w:val="center"/>
            <w:hideMark/>
          </w:tcPr>
          <w:p w:rsidR="00925A60" w:rsidRPr="005701E7" w:rsidRDefault="00925A60" w:rsidP="00542B30">
            <w:pPr>
              <w:jc w:val="center"/>
              <w:rPr>
                <w:rFonts w:asciiTheme="majorHAnsi" w:hAnsiTheme="majorHAnsi" w:cstheme="majorHAnsi"/>
                <w:b/>
                <w:bCs/>
                <w:color w:val="FFFFFF" w:themeColor="background1"/>
              </w:rPr>
            </w:pPr>
            <w:r w:rsidRPr="005701E7">
              <w:rPr>
                <w:rFonts w:asciiTheme="majorHAnsi" w:hAnsiTheme="majorHAnsi" w:cstheme="majorHAnsi"/>
                <w:b/>
                <w:bCs/>
                <w:color w:val="FFFFFF" w:themeColor="background1"/>
              </w:rPr>
              <w:t>Indicators</w:t>
            </w:r>
          </w:p>
        </w:tc>
        <w:tc>
          <w:tcPr>
            <w:tcW w:w="284" w:type="pct"/>
            <w:shd w:val="clear" w:color="auto" w:fill="7030A0"/>
            <w:vAlign w:val="center"/>
            <w:hideMark/>
          </w:tcPr>
          <w:p w:rsidR="00925A60" w:rsidRPr="005701E7" w:rsidRDefault="00925A60" w:rsidP="00542B30">
            <w:pPr>
              <w:jc w:val="center"/>
              <w:rPr>
                <w:rFonts w:asciiTheme="majorHAnsi" w:hAnsiTheme="majorHAnsi" w:cstheme="majorHAnsi"/>
                <w:b/>
                <w:bCs/>
                <w:color w:val="FFFFFF" w:themeColor="background1"/>
              </w:rPr>
            </w:pPr>
            <w:r w:rsidRPr="005701E7">
              <w:rPr>
                <w:rFonts w:asciiTheme="majorHAnsi" w:hAnsiTheme="majorHAnsi" w:cstheme="majorHAnsi"/>
                <w:b/>
                <w:bCs/>
                <w:color w:val="FFFFFF" w:themeColor="background1"/>
              </w:rPr>
              <w:t>Baseline</w:t>
            </w:r>
          </w:p>
        </w:tc>
        <w:tc>
          <w:tcPr>
            <w:tcW w:w="426" w:type="pct"/>
            <w:shd w:val="clear" w:color="auto" w:fill="7030A0"/>
            <w:vAlign w:val="center"/>
            <w:hideMark/>
          </w:tcPr>
          <w:p w:rsidR="00925A60" w:rsidRPr="005701E7" w:rsidRDefault="00925A60" w:rsidP="00542B30">
            <w:pPr>
              <w:jc w:val="center"/>
              <w:rPr>
                <w:rFonts w:asciiTheme="majorHAnsi" w:hAnsiTheme="majorHAnsi" w:cstheme="majorHAnsi"/>
                <w:b/>
                <w:bCs/>
                <w:color w:val="FFFFFF" w:themeColor="background1"/>
              </w:rPr>
            </w:pPr>
            <w:r w:rsidRPr="005701E7">
              <w:rPr>
                <w:rFonts w:asciiTheme="majorHAnsi" w:hAnsiTheme="majorHAnsi" w:cstheme="majorHAnsi"/>
                <w:b/>
                <w:bCs/>
                <w:color w:val="FFFFFF" w:themeColor="background1"/>
              </w:rPr>
              <w:t>Targets</w:t>
            </w:r>
          </w:p>
        </w:tc>
        <w:tc>
          <w:tcPr>
            <w:tcW w:w="598" w:type="pct"/>
            <w:vMerge w:val="restart"/>
            <w:shd w:val="clear" w:color="auto" w:fill="7030A0"/>
            <w:vAlign w:val="center"/>
            <w:hideMark/>
          </w:tcPr>
          <w:p w:rsidR="00925A60" w:rsidRPr="005701E7" w:rsidRDefault="00925A60" w:rsidP="00542B30">
            <w:pPr>
              <w:jc w:val="center"/>
              <w:rPr>
                <w:rFonts w:asciiTheme="majorHAnsi" w:hAnsiTheme="majorHAnsi" w:cstheme="majorHAnsi"/>
                <w:b/>
                <w:bCs/>
                <w:color w:val="FFFFFF" w:themeColor="background1"/>
              </w:rPr>
            </w:pPr>
            <w:r w:rsidRPr="005701E7">
              <w:rPr>
                <w:rFonts w:asciiTheme="majorHAnsi" w:hAnsiTheme="majorHAnsi" w:cstheme="majorHAnsi"/>
                <w:b/>
                <w:bCs/>
                <w:color w:val="FFFFFF" w:themeColor="background1"/>
              </w:rPr>
              <w:t>Sources and means of verification</w:t>
            </w:r>
          </w:p>
        </w:tc>
        <w:tc>
          <w:tcPr>
            <w:tcW w:w="1022" w:type="pct"/>
            <w:vMerge w:val="restart"/>
            <w:shd w:val="clear" w:color="auto" w:fill="7030A0"/>
            <w:vAlign w:val="center"/>
            <w:hideMark/>
          </w:tcPr>
          <w:p w:rsidR="00925A60" w:rsidRPr="005701E7" w:rsidRDefault="00925A60" w:rsidP="00542B30">
            <w:pPr>
              <w:jc w:val="center"/>
              <w:rPr>
                <w:rFonts w:asciiTheme="majorHAnsi" w:hAnsiTheme="majorHAnsi" w:cstheme="majorHAnsi"/>
                <w:b/>
                <w:bCs/>
                <w:color w:val="FFFFFF" w:themeColor="background1"/>
              </w:rPr>
            </w:pPr>
            <w:r w:rsidRPr="005701E7">
              <w:rPr>
                <w:rFonts w:asciiTheme="majorHAnsi" w:hAnsiTheme="majorHAnsi" w:cstheme="majorHAnsi"/>
                <w:b/>
                <w:bCs/>
                <w:color w:val="FFFFFF" w:themeColor="background1"/>
              </w:rPr>
              <w:t>Assumptions</w:t>
            </w:r>
          </w:p>
        </w:tc>
      </w:tr>
      <w:tr w:rsidR="00925A60" w:rsidRPr="002E1730" w:rsidTr="00925A60">
        <w:trPr>
          <w:trHeight w:val="615"/>
        </w:trPr>
        <w:tc>
          <w:tcPr>
            <w:tcW w:w="198" w:type="pct"/>
            <w:vMerge/>
            <w:shd w:val="clear" w:color="auto" w:fill="BFBFBF" w:themeFill="background1" w:themeFillShade="BF"/>
            <w:hideMark/>
          </w:tcPr>
          <w:p w:rsidR="00925A60" w:rsidRPr="002E1730" w:rsidRDefault="00925A60" w:rsidP="00542B30"/>
        </w:tc>
        <w:tc>
          <w:tcPr>
            <w:tcW w:w="1051" w:type="pct"/>
            <w:vMerge/>
            <w:hideMark/>
          </w:tcPr>
          <w:p w:rsidR="00925A60" w:rsidRPr="002E1730" w:rsidRDefault="00925A60" w:rsidP="00542B30">
            <w:pPr>
              <w:rPr>
                <w:b/>
                <w:bCs/>
              </w:rPr>
            </w:pPr>
          </w:p>
        </w:tc>
        <w:tc>
          <w:tcPr>
            <w:tcW w:w="1421" w:type="pct"/>
            <w:vMerge/>
            <w:hideMark/>
          </w:tcPr>
          <w:p w:rsidR="00925A60" w:rsidRPr="002E1730" w:rsidRDefault="00925A60" w:rsidP="00542B30">
            <w:pPr>
              <w:rPr>
                <w:b/>
                <w:bCs/>
              </w:rPr>
            </w:pPr>
          </w:p>
        </w:tc>
        <w:tc>
          <w:tcPr>
            <w:tcW w:w="284" w:type="pct"/>
            <w:shd w:val="clear" w:color="auto" w:fill="7030A0"/>
            <w:vAlign w:val="center"/>
            <w:hideMark/>
          </w:tcPr>
          <w:p w:rsidR="00925A60" w:rsidRPr="005701E7" w:rsidRDefault="00925A60" w:rsidP="00542B30">
            <w:pPr>
              <w:jc w:val="center"/>
              <w:rPr>
                <w:b/>
                <w:bCs/>
                <w:color w:val="FFFFFF" w:themeColor="background1"/>
              </w:rPr>
            </w:pPr>
            <w:r w:rsidRPr="005701E7">
              <w:rPr>
                <w:b/>
                <w:bCs/>
                <w:color w:val="FFFFFF" w:themeColor="background1"/>
              </w:rPr>
              <w:t>June - 2022</w:t>
            </w:r>
          </w:p>
        </w:tc>
        <w:tc>
          <w:tcPr>
            <w:tcW w:w="426" w:type="pct"/>
            <w:shd w:val="clear" w:color="auto" w:fill="7030A0"/>
            <w:vAlign w:val="center"/>
            <w:hideMark/>
          </w:tcPr>
          <w:p w:rsidR="00925A60" w:rsidRPr="005701E7" w:rsidRDefault="00925A60" w:rsidP="00542B30">
            <w:pPr>
              <w:jc w:val="center"/>
              <w:rPr>
                <w:b/>
                <w:bCs/>
                <w:color w:val="FFFFFF" w:themeColor="background1"/>
              </w:rPr>
            </w:pPr>
            <w:r w:rsidRPr="005701E7">
              <w:rPr>
                <w:b/>
                <w:bCs/>
                <w:color w:val="FFFFFF" w:themeColor="background1"/>
              </w:rPr>
              <w:t>June - 26</w:t>
            </w:r>
          </w:p>
        </w:tc>
        <w:tc>
          <w:tcPr>
            <w:tcW w:w="598" w:type="pct"/>
            <w:vMerge/>
            <w:hideMark/>
          </w:tcPr>
          <w:p w:rsidR="00925A60" w:rsidRPr="002E1730" w:rsidRDefault="00925A60" w:rsidP="00542B30">
            <w:pPr>
              <w:rPr>
                <w:b/>
                <w:bCs/>
              </w:rPr>
            </w:pPr>
          </w:p>
        </w:tc>
        <w:tc>
          <w:tcPr>
            <w:tcW w:w="1022" w:type="pct"/>
            <w:vMerge/>
            <w:hideMark/>
          </w:tcPr>
          <w:p w:rsidR="00925A60" w:rsidRPr="002E1730" w:rsidRDefault="00925A60" w:rsidP="00542B30">
            <w:pPr>
              <w:rPr>
                <w:b/>
                <w:bCs/>
              </w:rPr>
            </w:pPr>
          </w:p>
        </w:tc>
      </w:tr>
      <w:tr w:rsidR="00925A60" w:rsidRPr="002E1730" w:rsidTr="00925A60">
        <w:trPr>
          <w:trHeight w:val="690"/>
        </w:trPr>
        <w:tc>
          <w:tcPr>
            <w:tcW w:w="198" w:type="pct"/>
            <w:vMerge w:val="restart"/>
            <w:shd w:val="clear" w:color="auto" w:fill="7030A0"/>
            <w:textDirection w:val="btLr"/>
            <w:vAlign w:val="center"/>
            <w:hideMark/>
          </w:tcPr>
          <w:p w:rsidR="00925A60" w:rsidRPr="005701E7" w:rsidRDefault="00925A60" w:rsidP="00542B30">
            <w:pPr>
              <w:ind w:left="113" w:right="113"/>
              <w:jc w:val="both"/>
              <w:rPr>
                <w:rFonts w:asciiTheme="majorHAnsi" w:hAnsiTheme="majorHAnsi" w:cstheme="majorHAnsi"/>
                <w:b/>
                <w:bCs/>
                <w:color w:val="FFFFFF" w:themeColor="background1"/>
                <w:sz w:val="20"/>
                <w:szCs w:val="20"/>
              </w:rPr>
            </w:pPr>
            <w:r w:rsidRPr="005701E7">
              <w:rPr>
                <w:rFonts w:asciiTheme="majorHAnsi" w:hAnsiTheme="majorHAnsi" w:cstheme="majorHAnsi"/>
                <w:b/>
                <w:bCs/>
                <w:color w:val="FFFFFF" w:themeColor="background1"/>
                <w:sz w:val="20"/>
                <w:szCs w:val="20"/>
              </w:rPr>
              <w:t>Overall objective:   Impact</w:t>
            </w:r>
          </w:p>
        </w:tc>
        <w:tc>
          <w:tcPr>
            <w:tcW w:w="1051" w:type="pct"/>
            <w:vMerge w:val="restart"/>
            <w:vAlign w:val="center"/>
            <w:hideMark/>
          </w:tcPr>
          <w:p w:rsidR="00925A60" w:rsidRDefault="00925A60" w:rsidP="00542B30">
            <w:pPr>
              <w:jc w:val="both"/>
              <w:rPr>
                <w:rFonts w:asciiTheme="majorHAnsi" w:hAnsiTheme="majorHAnsi" w:cstheme="majorHAnsi"/>
                <w:sz w:val="20"/>
                <w:szCs w:val="20"/>
                <w:rtl/>
              </w:rPr>
            </w:pPr>
          </w:p>
          <w:p w:rsidR="00925A60" w:rsidRDefault="00925A60" w:rsidP="00542B30">
            <w:pPr>
              <w:spacing w:line="360" w:lineRule="auto"/>
              <w:jc w:val="both"/>
              <w:rPr>
                <w:rFonts w:asciiTheme="majorHAnsi" w:hAnsiTheme="majorHAnsi" w:cstheme="majorHAnsi"/>
                <w:sz w:val="20"/>
                <w:szCs w:val="20"/>
                <w:lang w:val="en-GB"/>
              </w:rPr>
            </w:pPr>
          </w:p>
          <w:p w:rsidR="00925A60" w:rsidRPr="002E1730" w:rsidRDefault="00925A60" w:rsidP="00542B30">
            <w:pPr>
              <w:spacing w:line="360" w:lineRule="auto"/>
              <w:jc w:val="both"/>
              <w:rPr>
                <w:rFonts w:asciiTheme="majorHAnsi" w:hAnsiTheme="majorHAnsi" w:cstheme="majorHAnsi"/>
                <w:sz w:val="20"/>
                <w:szCs w:val="20"/>
              </w:rPr>
            </w:pPr>
            <w:r>
              <w:rPr>
                <w:rFonts w:asciiTheme="majorHAnsi" w:hAnsiTheme="majorHAnsi" w:cstheme="majorHAnsi"/>
                <w:sz w:val="20"/>
                <w:szCs w:val="20"/>
              </w:rPr>
              <w:t>O.O. To improve young men and women economic empowerment in Yemen</w:t>
            </w:r>
          </w:p>
        </w:tc>
        <w:tc>
          <w:tcPr>
            <w:tcW w:w="1421" w:type="pct"/>
            <w:vAlign w:val="center"/>
            <w:hideMark/>
          </w:tcPr>
          <w:p w:rsidR="00925A60" w:rsidRDefault="00925A60" w:rsidP="00542B30">
            <w:pPr>
              <w:spacing w:line="360" w:lineRule="auto"/>
              <w:rPr>
                <w:rFonts w:asciiTheme="majorHAnsi" w:hAnsiTheme="majorHAnsi" w:cstheme="majorHAnsi"/>
                <w:sz w:val="20"/>
                <w:szCs w:val="20"/>
              </w:rPr>
            </w:pPr>
          </w:p>
          <w:p w:rsidR="00925A60" w:rsidRPr="005F766E" w:rsidRDefault="00925A60" w:rsidP="00542B30">
            <w:pPr>
              <w:spacing w:line="360" w:lineRule="auto"/>
              <w:rPr>
                <w:rFonts w:asciiTheme="majorHAnsi" w:hAnsiTheme="majorHAnsi" w:cstheme="majorHAnsi"/>
                <w:sz w:val="20"/>
                <w:szCs w:val="20"/>
              </w:rPr>
            </w:pPr>
            <w:proofErr w:type="spellStart"/>
            <w:r w:rsidRPr="005F766E">
              <w:rPr>
                <w:rFonts w:asciiTheme="majorHAnsi" w:hAnsiTheme="majorHAnsi" w:cstheme="majorHAnsi"/>
                <w:sz w:val="20"/>
                <w:szCs w:val="20"/>
              </w:rPr>
              <w:t>Labour</w:t>
            </w:r>
            <w:proofErr w:type="spellEnd"/>
            <w:r w:rsidRPr="005F766E">
              <w:rPr>
                <w:rFonts w:asciiTheme="majorHAnsi" w:hAnsiTheme="majorHAnsi" w:cstheme="majorHAnsi"/>
                <w:sz w:val="20"/>
                <w:szCs w:val="20"/>
              </w:rPr>
              <w:t xml:space="preserve"> force participation rates by gender</w:t>
            </w:r>
            <w:r>
              <w:rPr>
                <w:rFonts w:asciiTheme="majorHAnsi" w:hAnsiTheme="majorHAnsi" w:cstheme="majorHAnsi"/>
                <w:sz w:val="20"/>
                <w:szCs w:val="20"/>
              </w:rPr>
              <w:t xml:space="preserve"> in Yemen</w:t>
            </w:r>
          </w:p>
        </w:tc>
        <w:tc>
          <w:tcPr>
            <w:tcW w:w="284" w:type="pct"/>
            <w:shd w:val="clear" w:color="auto" w:fill="BFBFBF" w:themeFill="background1" w:themeFillShade="BF"/>
            <w:vAlign w:val="center"/>
            <w:hideMark/>
          </w:tcPr>
          <w:p w:rsidR="00925A60" w:rsidRDefault="00925A60" w:rsidP="00542B30">
            <w:pPr>
              <w:spacing w:line="360" w:lineRule="auto"/>
              <w:jc w:val="center"/>
              <w:rPr>
                <w:rFonts w:asciiTheme="majorHAnsi" w:hAnsiTheme="majorHAnsi" w:cstheme="majorHAnsi"/>
                <w:sz w:val="20"/>
                <w:szCs w:val="20"/>
                <w:rtl/>
              </w:rPr>
            </w:pPr>
          </w:p>
          <w:p w:rsidR="00925A60" w:rsidRPr="002E1730" w:rsidRDefault="00925A60" w:rsidP="00542B30">
            <w:pPr>
              <w:spacing w:line="360" w:lineRule="auto"/>
              <w:jc w:val="center"/>
              <w:rPr>
                <w:rFonts w:asciiTheme="majorHAnsi" w:hAnsiTheme="majorHAnsi" w:cstheme="majorHAnsi"/>
                <w:sz w:val="20"/>
                <w:szCs w:val="20"/>
              </w:rPr>
            </w:pPr>
            <w:r>
              <w:rPr>
                <w:rFonts w:asciiTheme="majorHAnsi" w:hAnsiTheme="majorHAnsi" w:cstheme="majorHAnsi"/>
                <w:sz w:val="20"/>
                <w:szCs w:val="20"/>
              </w:rPr>
              <w:t>25%</w:t>
            </w:r>
          </w:p>
        </w:tc>
        <w:tc>
          <w:tcPr>
            <w:tcW w:w="426" w:type="pct"/>
            <w:shd w:val="clear" w:color="auto" w:fill="BFBFBF" w:themeFill="background1" w:themeFillShade="BF"/>
            <w:vAlign w:val="center"/>
            <w:hideMark/>
          </w:tcPr>
          <w:p w:rsidR="00925A60" w:rsidRDefault="00925A60" w:rsidP="00542B30">
            <w:pPr>
              <w:spacing w:line="360" w:lineRule="auto"/>
              <w:jc w:val="center"/>
              <w:rPr>
                <w:rFonts w:asciiTheme="majorHAnsi" w:hAnsiTheme="majorHAnsi" w:cstheme="majorHAnsi"/>
                <w:sz w:val="20"/>
                <w:szCs w:val="20"/>
              </w:rPr>
            </w:pPr>
          </w:p>
          <w:p w:rsidR="00925A60" w:rsidRPr="002E1730" w:rsidRDefault="00925A60" w:rsidP="00542B30">
            <w:pPr>
              <w:spacing w:line="360" w:lineRule="auto"/>
              <w:jc w:val="center"/>
              <w:rPr>
                <w:rFonts w:asciiTheme="majorHAnsi" w:hAnsiTheme="majorHAnsi" w:cstheme="majorHAnsi"/>
                <w:sz w:val="20"/>
                <w:szCs w:val="20"/>
              </w:rPr>
            </w:pPr>
            <w:r>
              <w:rPr>
                <w:rFonts w:asciiTheme="majorHAnsi" w:hAnsiTheme="majorHAnsi" w:cstheme="majorHAnsi"/>
                <w:sz w:val="20"/>
                <w:szCs w:val="20"/>
              </w:rPr>
              <w:t>TBD</w:t>
            </w:r>
          </w:p>
        </w:tc>
        <w:tc>
          <w:tcPr>
            <w:tcW w:w="598" w:type="pct"/>
            <w:vAlign w:val="center"/>
            <w:hideMark/>
          </w:tcPr>
          <w:p w:rsidR="00925A60" w:rsidRPr="00954DB1" w:rsidRDefault="00925A60" w:rsidP="00542B30">
            <w:pPr>
              <w:spacing w:line="276" w:lineRule="auto"/>
              <w:jc w:val="both"/>
              <w:rPr>
                <w:rFonts w:asciiTheme="majorHAnsi" w:hAnsiTheme="majorHAnsi" w:cstheme="majorHAnsi"/>
                <w:sz w:val="18"/>
                <w:szCs w:val="18"/>
              </w:rPr>
            </w:pPr>
            <w:r w:rsidRPr="00954DB1">
              <w:rPr>
                <w:rFonts w:asciiTheme="majorHAnsi" w:hAnsiTheme="majorHAnsi" w:cstheme="majorHAnsi"/>
                <w:sz w:val="18"/>
                <w:szCs w:val="18"/>
              </w:rPr>
              <w:t>https://data.worldbank.org/indicator/SL.TLF.ACTI.FE.ZS?locations=YE</w:t>
            </w:r>
          </w:p>
        </w:tc>
        <w:tc>
          <w:tcPr>
            <w:tcW w:w="1022" w:type="pct"/>
            <w:vMerge w:val="restart"/>
            <w:shd w:val="clear" w:color="auto" w:fill="BFBFBF" w:themeFill="background1" w:themeFillShade="BF"/>
            <w:hideMark/>
          </w:tcPr>
          <w:p w:rsidR="00925A60" w:rsidRPr="002E1730" w:rsidRDefault="00925A60" w:rsidP="00542B30">
            <w:pPr>
              <w:spacing w:before="120" w:after="120" w:line="360" w:lineRule="auto"/>
              <w:jc w:val="both"/>
              <w:rPr>
                <w:rFonts w:asciiTheme="majorHAnsi" w:hAnsiTheme="majorHAnsi" w:cstheme="majorHAnsi"/>
                <w:sz w:val="20"/>
                <w:szCs w:val="20"/>
              </w:rPr>
            </w:pPr>
            <w:r w:rsidRPr="002E1730">
              <w:rPr>
                <w:rFonts w:asciiTheme="majorHAnsi" w:hAnsiTheme="majorHAnsi" w:cstheme="majorHAnsi"/>
                <w:sz w:val="20"/>
                <w:szCs w:val="20"/>
              </w:rPr>
              <w:t> </w:t>
            </w:r>
          </w:p>
          <w:p w:rsidR="00925A60" w:rsidRPr="002E1730" w:rsidRDefault="00925A60" w:rsidP="00542B30">
            <w:pPr>
              <w:jc w:val="both"/>
              <w:rPr>
                <w:rFonts w:asciiTheme="majorHAnsi" w:hAnsiTheme="majorHAnsi" w:cstheme="majorHAnsi"/>
                <w:sz w:val="20"/>
                <w:szCs w:val="20"/>
              </w:rPr>
            </w:pPr>
          </w:p>
        </w:tc>
      </w:tr>
      <w:tr w:rsidR="00925A60" w:rsidRPr="002E1730" w:rsidTr="00925A60">
        <w:trPr>
          <w:trHeight w:val="1034"/>
        </w:trPr>
        <w:tc>
          <w:tcPr>
            <w:tcW w:w="198" w:type="pct"/>
            <w:vMerge/>
            <w:shd w:val="clear" w:color="auto" w:fill="7030A0"/>
            <w:hideMark/>
          </w:tcPr>
          <w:p w:rsidR="00925A60" w:rsidRPr="00266C6D" w:rsidRDefault="00925A60" w:rsidP="00542B30">
            <w:pPr>
              <w:rPr>
                <w:rFonts w:asciiTheme="majorHAnsi" w:hAnsiTheme="majorHAnsi" w:cstheme="majorHAnsi"/>
                <w:b/>
                <w:bCs/>
                <w:color w:val="FFFFFF" w:themeColor="background1"/>
                <w:sz w:val="20"/>
                <w:szCs w:val="20"/>
              </w:rPr>
            </w:pPr>
          </w:p>
        </w:tc>
        <w:tc>
          <w:tcPr>
            <w:tcW w:w="1051" w:type="pct"/>
            <w:vMerge/>
            <w:vAlign w:val="center"/>
            <w:hideMark/>
          </w:tcPr>
          <w:p w:rsidR="00925A60" w:rsidRPr="002E1730" w:rsidRDefault="00925A60" w:rsidP="00542B30">
            <w:pPr>
              <w:jc w:val="both"/>
              <w:rPr>
                <w:rFonts w:asciiTheme="majorHAnsi" w:hAnsiTheme="majorHAnsi" w:cstheme="majorHAnsi"/>
                <w:sz w:val="20"/>
                <w:szCs w:val="20"/>
              </w:rPr>
            </w:pPr>
          </w:p>
        </w:tc>
        <w:tc>
          <w:tcPr>
            <w:tcW w:w="1421" w:type="pct"/>
            <w:vAlign w:val="center"/>
            <w:hideMark/>
          </w:tcPr>
          <w:p w:rsidR="00925A60" w:rsidRPr="002E1730" w:rsidRDefault="00925A60" w:rsidP="00542B30">
            <w:pPr>
              <w:spacing w:line="360" w:lineRule="auto"/>
              <w:jc w:val="both"/>
              <w:rPr>
                <w:rFonts w:asciiTheme="majorHAnsi" w:hAnsiTheme="majorHAnsi" w:cstheme="majorHAnsi"/>
                <w:sz w:val="20"/>
                <w:szCs w:val="20"/>
              </w:rPr>
            </w:pPr>
            <w:r w:rsidRPr="00F615CF">
              <w:rPr>
                <w:rFonts w:asciiTheme="majorHAnsi" w:hAnsiTheme="majorHAnsi" w:cstheme="majorHAnsi"/>
                <w:sz w:val="20"/>
                <w:szCs w:val="20"/>
              </w:rPr>
              <w:t xml:space="preserve">Youth </w:t>
            </w:r>
            <w:r>
              <w:rPr>
                <w:rFonts w:asciiTheme="majorHAnsi" w:hAnsiTheme="majorHAnsi" w:cstheme="majorHAnsi"/>
                <w:sz w:val="20"/>
                <w:szCs w:val="20"/>
              </w:rPr>
              <w:t>u</w:t>
            </w:r>
            <w:r w:rsidRPr="00F615CF">
              <w:rPr>
                <w:rFonts w:asciiTheme="majorHAnsi" w:hAnsiTheme="majorHAnsi" w:cstheme="majorHAnsi"/>
                <w:sz w:val="20"/>
                <w:szCs w:val="20"/>
              </w:rPr>
              <w:t xml:space="preserve">nemployment </w:t>
            </w:r>
            <w:r>
              <w:rPr>
                <w:rFonts w:asciiTheme="majorHAnsi" w:hAnsiTheme="majorHAnsi" w:cstheme="majorHAnsi"/>
                <w:sz w:val="20"/>
                <w:szCs w:val="20"/>
              </w:rPr>
              <w:t>r</w:t>
            </w:r>
            <w:r w:rsidRPr="00F615CF">
              <w:rPr>
                <w:rFonts w:asciiTheme="majorHAnsi" w:hAnsiTheme="majorHAnsi" w:cstheme="majorHAnsi"/>
                <w:sz w:val="20"/>
                <w:szCs w:val="20"/>
              </w:rPr>
              <w:t>ate</w:t>
            </w:r>
            <w:r>
              <w:rPr>
                <w:rFonts w:asciiTheme="majorHAnsi" w:hAnsiTheme="majorHAnsi" w:cstheme="majorHAnsi"/>
                <w:sz w:val="20"/>
                <w:szCs w:val="20"/>
              </w:rPr>
              <w:t xml:space="preserve"> in Yemen</w:t>
            </w:r>
          </w:p>
        </w:tc>
        <w:tc>
          <w:tcPr>
            <w:tcW w:w="284" w:type="pct"/>
            <w:shd w:val="clear" w:color="auto" w:fill="BFBFBF" w:themeFill="background1" w:themeFillShade="BF"/>
            <w:vAlign w:val="center"/>
            <w:hideMark/>
          </w:tcPr>
          <w:p w:rsidR="00925A60" w:rsidRDefault="00925A60" w:rsidP="00542B30">
            <w:pPr>
              <w:spacing w:line="360" w:lineRule="auto"/>
              <w:jc w:val="center"/>
              <w:rPr>
                <w:rFonts w:asciiTheme="majorHAnsi" w:hAnsiTheme="majorHAnsi" w:cstheme="majorHAnsi"/>
                <w:sz w:val="20"/>
                <w:szCs w:val="20"/>
                <w:lang w:val="en-GB"/>
              </w:rPr>
            </w:pPr>
          </w:p>
          <w:p w:rsidR="00925A60" w:rsidRPr="002E1730" w:rsidRDefault="00925A60" w:rsidP="00542B30">
            <w:pPr>
              <w:spacing w:line="360" w:lineRule="auto"/>
              <w:jc w:val="center"/>
              <w:rPr>
                <w:rFonts w:asciiTheme="majorHAnsi" w:hAnsiTheme="majorHAnsi" w:cstheme="majorHAnsi"/>
                <w:sz w:val="20"/>
                <w:szCs w:val="20"/>
              </w:rPr>
            </w:pPr>
            <w:r>
              <w:rPr>
                <w:rFonts w:asciiTheme="majorHAnsi" w:hAnsiTheme="majorHAnsi" w:cstheme="majorHAnsi"/>
                <w:sz w:val="20"/>
                <w:szCs w:val="20"/>
                <w:lang w:val="en-GB"/>
              </w:rPr>
              <w:t>25.5%</w:t>
            </w:r>
          </w:p>
        </w:tc>
        <w:tc>
          <w:tcPr>
            <w:tcW w:w="426" w:type="pct"/>
            <w:shd w:val="clear" w:color="auto" w:fill="BFBFBF" w:themeFill="background1" w:themeFillShade="BF"/>
            <w:vAlign w:val="center"/>
            <w:hideMark/>
          </w:tcPr>
          <w:p w:rsidR="00925A60" w:rsidRDefault="00925A60" w:rsidP="00542B30">
            <w:pPr>
              <w:spacing w:line="360" w:lineRule="auto"/>
              <w:jc w:val="center"/>
              <w:rPr>
                <w:rFonts w:asciiTheme="majorHAnsi" w:hAnsiTheme="majorHAnsi" w:cstheme="majorHAnsi"/>
                <w:sz w:val="20"/>
                <w:szCs w:val="20"/>
              </w:rPr>
            </w:pPr>
          </w:p>
          <w:p w:rsidR="00925A60" w:rsidRPr="002E1730" w:rsidRDefault="00925A60" w:rsidP="00542B30">
            <w:pPr>
              <w:spacing w:line="360" w:lineRule="auto"/>
              <w:jc w:val="center"/>
              <w:rPr>
                <w:rFonts w:asciiTheme="majorHAnsi" w:hAnsiTheme="majorHAnsi" w:cstheme="majorHAnsi"/>
                <w:sz w:val="20"/>
                <w:szCs w:val="20"/>
              </w:rPr>
            </w:pPr>
            <w:r>
              <w:rPr>
                <w:rFonts w:asciiTheme="majorHAnsi" w:hAnsiTheme="majorHAnsi" w:cstheme="majorHAnsi"/>
                <w:sz w:val="20"/>
                <w:szCs w:val="20"/>
              </w:rPr>
              <w:t>TBD</w:t>
            </w:r>
          </w:p>
        </w:tc>
        <w:tc>
          <w:tcPr>
            <w:tcW w:w="598" w:type="pct"/>
            <w:vAlign w:val="center"/>
            <w:hideMark/>
          </w:tcPr>
          <w:p w:rsidR="00925A60" w:rsidRPr="00954DB1" w:rsidRDefault="00925A60" w:rsidP="00542B30">
            <w:pPr>
              <w:spacing w:line="360" w:lineRule="auto"/>
              <w:rPr>
                <w:rFonts w:asciiTheme="majorHAnsi" w:hAnsiTheme="majorHAnsi" w:cstheme="majorHAnsi"/>
                <w:sz w:val="18"/>
                <w:szCs w:val="18"/>
              </w:rPr>
            </w:pPr>
            <w:r w:rsidRPr="00954DB1">
              <w:rPr>
                <w:rFonts w:asciiTheme="majorHAnsi" w:hAnsiTheme="majorHAnsi" w:cstheme="majorHAnsi"/>
                <w:color w:val="0000CC"/>
                <w:sz w:val="18"/>
                <w:szCs w:val="18"/>
              </w:rPr>
              <w:t xml:space="preserve">World Bank 2019: </w:t>
            </w:r>
            <w:hyperlink r:id="rId5" w:history="1">
              <w:r w:rsidRPr="00954DB1">
                <w:rPr>
                  <w:rStyle w:val="Hyperlink"/>
                  <w:rFonts w:asciiTheme="majorHAnsi" w:hAnsiTheme="majorHAnsi" w:cstheme="majorHAnsi"/>
                  <w:color w:val="0000CC"/>
                  <w:sz w:val="18"/>
                  <w:szCs w:val="18"/>
                </w:rPr>
                <w:t>https://fred.stlouisfed.org/series/SLUEM1524ZSYEM</w:t>
              </w:r>
            </w:hyperlink>
          </w:p>
        </w:tc>
        <w:tc>
          <w:tcPr>
            <w:tcW w:w="1022" w:type="pct"/>
            <w:vMerge/>
            <w:shd w:val="clear" w:color="auto" w:fill="BFBFBF" w:themeFill="background1" w:themeFillShade="BF"/>
            <w:hideMark/>
          </w:tcPr>
          <w:p w:rsidR="00925A60" w:rsidRPr="002E1730" w:rsidRDefault="00925A60" w:rsidP="00542B30"/>
        </w:tc>
      </w:tr>
      <w:tr w:rsidR="00925A60" w:rsidRPr="002E1730" w:rsidTr="00925A60">
        <w:trPr>
          <w:trHeight w:val="782"/>
        </w:trPr>
        <w:tc>
          <w:tcPr>
            <w:tcW w:w="198" w:type="pct"/>
            <w:vMerge/>
            <w:shd w:val="clear" w:color="auto" w:fill="7030A0"/>
            <w:hideMark/>
          </w:tcPr>
          <w:p w:rsidR="00925A60" w:rsidRPr="00266C6D" w:rsidRDefault="00925A60" w:rsidP="00542B30">
            <w:pPr>
              <w:rPr>
                <w:rFonts w:asciiTheme="majorHAnsi" w:hAnsiTheme="majorHAnsi" w:cstheme="majorHAnsi"/>
                <w:b/>
                <w:bCs/>
                <w:color w:val="FFFFFF" w:themeColor="background1"/>
                <w:sz w:val="20"/>
                <w:szCs w:val="20"/>
              </w:rPr>
            </w:pPr>
          </w:p>
        </w:tc>
        <w:tc>
          <w:tcPr>
            <w:tcW w:w="1051" w:type="pct"/>
            <w:vMerge/>
            <w:vAlign w:val="center"/>
            <w:hideMark/>
          </w:tcPr>
          <w:p w:rsidR="00925A60" w:rsidRPr="002E1730" w:rsidRDefault="00925A60" w:rsidP="00542B30">
            <w:pPr>
              <w:spacing w:line="360" w:lineRule="auto"/>
              <w:jc w:val="both"/>
              <w:rPr>
                <w:rFonts w:asciiTheme="majorHAnsi" w:hAnsiTheme="majorHAnsi" w:cstheme="majorHAnsi"/>
                <w:sz w:val="20"/>
                <w:szCs w:val="20"/>
              </w:rPr>
            </w:pPr>
          </w:p>
        </w:tc>
        <w:tc>
          <w:tcPr>
            <w:tcW w:w="1421" w:type="pct"/>
            <w:vAlign w:val="center"/>
            <w:hideMark/>
          </w:tcPr>
          <w:p w:rsidR="00925A60" w:rsidRPr="002E1730" w:rsidRDefault="00925A60" w:rsidP="00542B30">
            <w:pPr>
              <w:spacing w:line="360" w:lineRule="auto"/>
              <w:jc w:val="both"/>
              <w:rPr>
                <w:rFonts w:asciiTheme="majorHAnsi" w:hAnsiTheme="majorHAnsi" w:cstheme="majorHAnsi"/>
                <w:sz w:val="20"/>
                <w:szCs w:val="20"/>
              </w:rPr>
            </w:pPr>
            <w:r>
              <w:rPr>
                <w:rFonts w:asciiTheme="majorHAnsi" w:hAnsiTheme="majorHAnsi" w:cstheme="majorHAnsi"/>
                <w:bCs/>
                <w:sz w:val="20"/>
                <w:szCs w:val="20"/>
                <w:lang w:val="en-GB"/>
              </w:rPr>
              <w:t xml:space="preserve"> </w:t>
            </w:r>
            <w:r w:rsidRPr="001D0610">
              <w:rPr>
                <w:rFonts w:asciiTheme="majorHAnsi" w:hAnsiTheme="majorHAnsi" w:cstheme="majorHAnsi"/>
                <w:sz w:val="20"/>
                <w:szCs w:val="20"/>
              </w:rPr>
              <w:t>Global Financial Inclusion index</w:t>
            </w:r>
          </w:p>
        </w:tc>
        <w:tc>
          <w:tcPr>
            <w:tcW w:w="284" w:type="pct"/>
            <w:shd w:val="clear" w:color="auto" w:fill="BFBFBF" w:themeFill="background1" w:themeFillShade="BF"/>
            <w:vAlign w:val="center"/>
            <w:hideMark/>
          </w:tcPr>
          <w:p w:rsidR="00925A60" w:rsidRDefault="00925A60" w:rsidP="00542B30">
            <w:pPr>
              <w:spacing w:before="120" w:after="120" w:line="360" w:lineRule="auto"/>
              <w:jc w:val="center"/>
              <w:rPr>
                <w:rFonts w:asciiTheme="majorHAnsi" w:hAnsiTheme="majorHAnsi" w:cstheme="majorHAnsi"/>
                <w:sz w:val="20"/>
                <w:szCs w:val="20"/>
              </w:rPr>
            </w:pPr>
          </w:p>
          <w:p w:rsidR="00925A60" w:rsidRPr="002E1730" w:rsidRDefault="00925A60" w:rsidP="00542B30">
            <w:pPr>
              <w:spacing w:before="120" w:after="120" w:line="360" w:lineRule="auto"/>
              <w:jc w:val="center"/>
              <w:rPr>
                <w:rFonts w:asciiTheme="majorHAnsi" w:hAnsiTheme="majorHAnsi" w:cstheme="majorHAnsi"/>
                <w:sz w:val="20"/>
                <w:szCs w:val="20"/>
              </w:rPr>
            </w:pPr>
            <w:r>
              <w:rPr>
                <w:rFonts w:asciiTheme="majorHAnsi" w:hAnsiTheme="majorHAnsi" w:cstheme="majorHAnsi"/>
                <w:sz w:val="20"/>
                <w:szCs w:val="20"/>
              </w:rPr>
              <w:t>TBD</w:t>
            </w:r>
          </w:p>
        </w:tc>
        <w:tc>
          <w:tcPr>
            <w:tcW w:w="426" w:type="pct"/>
            <w:shd w:val="clear" w:color="auto" w:fill="BFBFBF" w:themeFill="background1" w:themeFillShade="BF"/>
            <w:vAlign w:val="center"/>
            <w:hideMark/>
          </w:tcPr>
          <w:p w:rsidR="00925A60" w:rsidRDefault="00925A60" w:rsidP="00542B30">
            <w:pPr>
              <w:jc w:val="center"/>
              <w:rPr>
                <w:rFonts w:asciiTheme="majorHAnsi" w:hAnsiTheme="majorHAnsi" w:cstheme="majorHAnsi"/>
                <w:sz w:val="20"/>
                <w:szCs w:val="20"/>
              </w:rPr>
            </w:pPr>
          </w:p>
          <w:p w:rsidR="00925A60" w:rsidRPr="002E1730" w:rsidRDefault="00925A60" w:rsidP="00542B30">
            <w:pPr>
              <w:jc w:val="center"/>
              <w:rPr>
                <w:rFonts w:asciiTheme="majorHAnsi" w:hAnsiTheme="majorHAnsi" w:cstheme="majorHAnsi"/>
                <w:sz w:val="20"/>
                <w:szCs w:val="20"/>
              </w:rPr>
            </w:pPr>
            <w:r>
              <w:rPr>
                <w:rFonts w:asciiTheme="majorHAnsi" w:hAnsiTheme="majorHAnsi" w:cstheme="majorHAnsi"/>
                <w:sz w:val="20"/>
                <w:szCs w:val="20"/>
              </w:rPr>
              <w:t>TBD</w:t>
            </w:r>
          </w:p>
        </w:tc>
        <w:tc>
          <w:tcPr>
            <w:tcW w:w="598" w:type="pct"/>
            <w:vAlign w:val="center"/>
            <w:hideMark/>
          </w:tcPr>
          <w:p w:rsidR="00925A60" w:rsidRPr="00954DB1" w:rsidRDefault="00925A60" w:rsidP="00542B30">
            <w:pPr>
              <w:rPr>
                <w:rFonts w:asciiTheme="majorHAnsi" w:hAnsiTheme="majorHAnsi" w:cstheme="majorHAnsi"/>
                <w:sz w:val="18"/>
                <w:szCs w:val="18"/>
              </w:rPr>
            </w:pPr>
            <w:r w:rsidRPr="00954DB1">
              <w:rPr>
                <w:rFonts w:asciiTheme="majorHAnsi" w:hAnsiTheme="majorHAnsi" w:cstheme="majorHAnsi"/>
                <w:sz w:val="18"/>
                <w:szCs w:val="18"/>
              </w:rPr>
              <w:t>https://databank.worldbank.org/source/global-financial-inclusion</w:t>
            </w:r>
          </w:p>
        </w:tc>
        <w:tc>
          <w:tcPr>
            <w:tcW w:w="1022" w:type="pct"/>
            <w:vMerge/>
            <w:shd w:val="clear" w:color="auto" w:fill="BFBFBF" w:themeFill="background1" w:themeFillShade="BF"/>
            <w:hideMark/>
          </w:tcPr>
          <w:p w:rsidR="00925A60" w:rsidRPr="002E1730" w:rsidRDefault="00925A60" w:rsidP="00542B30"/>
        </w:tc>
      </w:tr>
      <w:tr w:rsidR="00925A60" w:rsidRPr="00EC0C2D" w:rsidTr="00925A60">
        <w:trPr>
          <w:trHeight w:val="890"/>
        </w:trPr>
        <w:tc>
          <w:tcPr>
            <w:tcW w:w="198" w:type="pct"/>
            <w:vMerge w:val="restart"/>
            <w:shd w:val="clear" w:color="auto" w:fill="7030A0"/>
            <w:textDirection w:val="btLr"/>
            <w:vAlign w:val="center"/>
            <w:hideMark/>
          </w:tcPr>
          <w:p w:rsidR="00925A60" w:rsidRPr="005701E7" w:rsidRDefault="00925A60" w:rsidP="00542B30">
            <w:pPr>
              <w:ind w:left="113" w:right="113"/>
              <w:jc w:val="center"/>
              <w:rPr>
                <w:rFonts w:asciiTheme="majorHAnsi" w:hAnsiTheme="majorHAnsi" w:cstheme="majorHAnsi"/>
                <w:b/>
                <w:bCs/>
                <w:color w:val="FFFFFF" w:themeColor="background1"/>
                <w:sz w:val="20"/>
                <w:szCs w:val="20"/>
              </w:rPr>
            </w:pPr>
            <w:r w:rsidRPr="005701E7">
              <w:rPr>
                <w:rFonts w:asciiTheme="majorHAnsi" w:hAnsiTheme="majorHAnsi" w:cstheme="majorHAnsi"/>
                <w:b/>
                <w:bCs/>
                <w:color w:val="FFFFFF" w:themeColor="background1"/>
                <w:sz w:val="20"/>
                <w:szCs w:val="20"/>
              </w:rPr>
              <w:t>Specific Objectives: outcomes</w:t>
            </w:r>
          </w:p>
        </w:tc>
        <w:tc>
          <w:tcPr>
            <w:tcW w:w="1051" w:type="pct"/>
            <w:vMerge w:val="restart"/>
            <w:vAlign w:val="center"/>
            <w:hideMark/>
          </w:tcPr>
          <w:p w:rsidR="00925A60" w:rsidRDefault="00925A60" w:rsidP="00542B30">
            <w:pPr>
              <w:spacing w:line="360" w:lineRule="auto"/>
              <w:jc w:val="both"/>
              <w:rPr>
                <w:rFonts w:asciiTheme="majorHAnsi" w:hAnsiTheme="majorHAnsi" w:cstheme="majorHAnsi"/>
                <w:sz w:val="20"/>
                <w:szCs w:val="20"/>
                <w:lang w:val="en-GB"/>
              </w:rPr>
            </w:pPr>
          </w:p>
          <w:p w:rsidR="00925A60" w:rsidRDefault="00925A60" w:rsidP="00542B30">
            <w:pPr>
              <w:spacing w:line="360" w:lineRule="auto"/>
              <w:jc w:val="both"/>
              <w:rPr>
                <w:rFonts w:asciiTheme="majorHAnsi" w:hAnsiTheme="majorHAnsi" w:cstheme="majorHAnsi"/>
                <w:sz w:val="20"/>
                <w:szCs w:val="20"/>
                <w:lang w:val="en-GB"/>
              </w:rPr>
            </w:pPr>
          </w:p>
          <w:p w:rsidR="00925A60" w:rsidRPr="004C3D0B" w:rsidRDefault="00925A60" w:rsidP="00542B30">
            <w:pPr>
              <w:spacing w:line="360" w:lineRule="auto"/>
              <w:jc w:val="both"/>
              <w:rPr>
                <w:rFonts w:asciiTheme="majorHAnsi" w:hAnsiTheme="majorHAnsi" w:cstheme="majorHAnsi"/>
                <w:sz w:val="20"/>
                <w:szCs w:val="20"/>
                <w:lang w:val="en-GB"/>
              </w:rPr>
            </w:pPr>
            <w:r>
              <w:rPr>
                <w:rFonts w:asciiTheme="majorHAnsi" w:hAnsiTheme="majorHAnsi" w:cstheme="majorHAnsi"/>
                <w:sz w:val="20"/>
                <w:szCs w:val="20"/>
                <w:lang w:val="en-GB"/>
              </w:rPr>
              <w:t xml:space="preserve">S.O. Increased inclusive access to livelihoods for young people involved in EU-funded </w:t>
            </w:r>
            <w:r w:rsidRPr="004C3D0B">
              <w:rPr>
                <w:rFonts w:asciiTheme="majorHAnsi" w:hAnsiTheme="majorHAnsi" w:cstheme="majorHAnsi"/>
                <w:sz w:val="20"/>
                <w:szCs w:val="20"/>
                <w:lang w:val="en-GB"/>
              </w:rPr>
              <w:t>entrepreneurship and financial inclusion initiatives.</w:t>
            </w:r>
          </w:p>
        </w:tc>
        <w:tc>
          <w:tcPr>
            <w:tcW w:w="1421" w:type="pct"/>
            <w:hideMark/>
          </w:tcPr>
          <w:p w:rsidR="00925A60" w:rsidRPr="004C3D0B" w:rsidRDefault="00925A60" w:rsidP="00542B30">
            <w:pPr>
              <w:jc w:val="both"/>
              <w:rPr>
                <w:rFonts w:asciiTheme="majorHAnsi" w:hAnsiTheme="majorHAnsi" w:cstheme="majorHAnsi"/>
                <w:sz w:val="20"/>
                <w:szCs w:val="20"/>
                <w:lang w:val="en-GB"/>
              </w:rPr>
            </w:pPr>
          </w:p>
          <w:p w:rsidR="00925A60" w:rsidRPr="006A3D5C" w:rsidRDefault="00925A60" w:rsidP="00542B30">
            <w:pPr>
              <w:spacing w:line="360" w:lineRule="auto"/>
              <w:jc w:val="both"/>
              <w:rPr>
                <w:rFonts w:asciiTheme="majorHAnsi" w:hAnsiTheme="majorHAnsi" w:cstheme="majorHAnsi"/>
                <w:sz w:val="20"/>
                <w:szCs w:val="20"/>
                <w:lang w:val="en-GB"/>
              </w:rPr>
            </w:pPr>
            <w:r>
              <w:rPr>
                <w:rFonts w:asciiTheme="majorHAnsi" w:hAnsiTheme="majorHAnsi" w:cstheme="majorHAnsi"/>
                <w:sz w:val="20"/>
                <w:szCs w:val="20"/>
              </w:rPr>
              <w:t xml:space="preserve">1. Number of jobs supported/sustained by the </w:t>
            </w:r>
            <w:r w:rsidRPr="006A3D5C">
              <w:rPr>
                <w:rFonts w:asciiTheme="majorHAnsi" w:hAnsiTheme="majorHAnsi" w:cstheme="majorHAnsi"/>
                <w:sz w:val="20"/>
                <w:szCs w:val="20"/>
                <w:lang w:val="en-GB"/>
              </w:rPr>
              <w:t>intervention</w:t>
            </w:r>
            <w:r>
              <w:rPr>
                <w:rFonts w:asciiTheme="majorHAnsi" w:hAnsiTheme="majorHAnsi" w:cstheme="majorHAnsi"/>
                <w:sz w:val="20"/>
                <w:szCs w:val="20"/>
              </w:rPr>
              <w:t xml:space="preserve"> (GERF 2.13) </w:t>
            </w:r>
            <w:r>
              <w:rPr>
                <w:rFonts w:asciiTheme="majorHAnsi" w:hAnsiTheme="majorHAnsi" w:cstheme="majorHAnsi"/>
                <w:sz w:val="20"/>
                <w:szCs w:val="20"/>
                <w:lang w:val="en-GB"/>
              </w:rPr>
              <w:t>Disaggregated by sex, age and governorate</w:t>
            </w:r>
          </w:p>
        </w:tc>
        <w:tc>
          <w:tcPr>
            <w:tcW w:w="284" w:type="pct"/>
            <w:vAlign w:val="center"/>
          </w:tcPr>
          <w:p w:rsidR="00925A60" w:rsidRPr="002E1730" w:rsidRDefault="00925A60" w:rsidP="00542B30">
            <w:pPr>
              <w:spacing w:after="160"/>
              <w:jc w:val="center"/>
              <w:rPr>
                <w:lang w:bidi="ar-QA"/>
              </w:rPr>
            </w:pPr>
            <w:r>
              <w:t>0</w:t>
            </w:r>
          </w:p>
        </w:tc>
        <w:tc>
          <w:tcPr>
            <w:tcW w:w="426" w:type="pct"/>
            <w:vAlign w:val="center"/>
          </w:tcPr>
          <w:p w:rsidR="00925A60" w:rsidRPr="002E1730" w:rsidRDefault="00925A60" w:rsidP="00542B30">
            <w:pPr>
              <w:jc w:val="center"/>
            </w:pPr>
            <w:r>
              <w:rPr>
                <w:rFonts w:asciiTheme="majorHAnsi" w:hAnsiTheme="majorHAnsi" w:cstheme="majorHAnsi"/>
                <w:sz w:val="20"/>
                <w:szCs w:val="20"/>
                <w:lang w:val="en-GB"/>
              </w:rPr>
              <w:t>53</w:t>
            </w:r>
            <w:r w:rsidRPr="00712E63">
              <w:rPr>
                <w:rFonts w:asciiTheme="majorHAnsi" w:hAnsiTheme="majorHAnsi" w:cstheme="majorHAnsi"/>
                <w:sz w:val="20"/>
                <w:szCs w:val="20"/>
                <w:lang w:val="en-GB"/>
              </w:rPr>
              <w:t>,</w:t>
            </w:r>
            <w:r>
              <w:rPr>
                <w:rFonts w:asciiTheme="majorHAnsi" w:hAnsiTheme="majorHAnsi" w:cstheme="majorHAnsi"/>
                <w:sz w:val="20"/>
                <w:szCs w:val="20"/>
                <w:lang w:val="en-GB"/>
              </w:rPr>
              <w:t>030</w:t>
            </w:r>
            <w:r>
              <w:t xml:space="preserve"> </w:t>
            </w:r>
          </w:p>
        </w:tc>
        <w:tc>
          <w:tcPr>
            <w:tcW w:w="598" w:type="pct"/>
            <w:vAlign w:val="center"/>
            <w:hideMark/>
          </w:tcPr>
          <w:p w:rsidR="00925A60" w:rsidRPr="00954DB1" w:rsidRDefault="00925A60" w:rsidP="00542B30">
            <w:pPr>
              <w:spacing w:line="276" w:lineRule="auto"/>
              <w:jc w:val="both"/>
              <w:rPr>
                <w:rFonts w:asciiTheme="majorHAnsi" w:hAnsiTheme="majorHAnsi" w:cstheme="majorHAnsi"/>
                <w:sz w:val="18"/>
                <w:szCs w:val="18"/>
              </w:rPr>
            </w:pPr>
            <w:r w:rsidRPr="00954DB1">
              <w:rPr>
                <w:rFonts w:asciiTheme="majorHAnsi" w:hAnsiTheme="majorHAnsi" w:cstheme="majorHAnsi"/>
                <w:sz w:val="18"/>
                <w:szCs w:val="18"/>
              </w:rPr>
              <w:t>Intervention´s monitoring system (Financial institution´s report)</w:t>
            </w:r>
          </w:p>
        </w:tc>
        <w:tc>
          <w:tcPr>
            <w:tcW w:w="1022" w:type="pct"/>
            <w:vMerge w:val="restart"/>
            <w:vAlign w:val="center"/>
            <w:hideMark/>
          </w:tcPr>
          <w:p w:rsidR="00925A60" w:rsidRPr="00417C6D" w:rsidRDefault="00925A60" w:rsidP="00542B30">
            <w:pPr>
              <w:spacing w:line="360" w:lineRule="auto"/>
              <w:jc w:val="both"/>
              <w:rPr>
                <w:rFonts w:asciiTheme="majorHAnsi" w:hAnsiTheme="majorHAnsi" w:cstheme="majorHAnsi"/>
                <w:sz w:val="20"/>
                <w:szCs w:val="20"/>
              </w:rPr>
            </w:pPr>
          </w:p>
          <w:p w:rsidR="00925A60" w:rsidRDefault="00925A60" w:rsidP="00542B30">
            <w:pPr>
              <w:spacing w:line="276" w:lineRule="auto"/>
              <w:jc w:val="both"/>
              <w:rPr>
                <w:sz w:val="20"/>
                <w:szCs w:val="20"/>
              </w:rPr>
            </w:pPr>
          </w:p>
          <w:p w:rsidR="00925A60" w:rsidRPr="00EC0C2D" w:rsidRDefault="00925A60" w:rsidP="00542B30">
            <w:pPr>
              <w:spacing w:line="276" w:lineRule="auto"/>
              <w:jc w:val="both"/>
              <w:rPr>
                <w:rFonts w:eastAsia="Times New Roman" w:cstheme="minorHAnsi"/>
                <w:color w:val="000000"/>
                <w:sz w:val="20"/>
                <w:szCs w:val="20"/>
              </w:rPr>
            </w:pPr>
            <w:r>
              <w:rPr>
                <w:rFonts w:eastAsia="Times New Roman" w:cstheme="minorHAnsi"/>
                <w:color w:val="000000"/>
                <w:sz w:val="20"/>
                <w:szCs w:val="20"/>
              </w:rPr>
              <w:t>T</w:t>
            </w:r>
            <w:r w:rsidRPr="00EC0C2D">
              <w:rPr>
                <w:rFonts w:eastAsia="Times New Roman" w:cstheme="minorHAnsi"/>
                <w:color w:val="000000"/>
                <w:sz w:val="20"/>
                <w:szCs w:val="20"/>
              </w:rPr>
              <w:t xml:space="preserve">he armed conflict or security conditions </w:t>
            </w:r>
            <w:r>
              <w:rPr>
                <w:rFonts w:eastAsia="Times New Roman" w:cstheme="minorHAnsi"/>
                <w:color w:val="000000"/>
                <w:sz w:val="20"/>
                <w:szCs w:val="20"/>
              </w:rPr>
              <w:t>don’t further</w:t>
            </w:r>
            <w:r w:rsidRPr="00EC0C2D">
              <w:rPr>
                <w:rFonts w:eastAsia="Times New Roman" w:cstheme="minorHAnsi"/>
                <w:color w:val="000000"/>
                <w:sz w:val="20"/>
                <w:szCs w:val="20"/>
              </w:rPr>
              <w:t xml:space="preserve"> increase forced displacement, </w:t>
            </w:r>
            <w:r>
              <w:rPr>
                <w:rFonts w:eastAsia="Times New Roman" w:cstheme="minorHAnsi"/>
                <w:color w:val="000000"/>
                <w:sz w:val="20"/>
                <w:szCs w:val="20"/>
              </w:rPr>
              <w:t>radicalization, violence against women and girls</w:t>
            </w:r>
            <w:r w:rsidRPr="00EC0C2D">
              <w:rPr>
                <w:rFonts w:eastAsia="Times New Roman" w:cstheme="minorHAnsi"/>
                <w:color w:val="000000"/>
                <w:sz w:val="20"/>
                <w:szCs w:val="20"/>
              </w:rPr>
              <w:t xml:space="preserve"> or </w:t>
            </w:r>
            <w:r>
              <w:rPr>
                <w:rFonts w:eastAsia="Times New Roman" w:cstheme="minorHAnsi"/>
                <w:color w:val="000000"/>
                <w:sz w:val="20"/>
                <w:szCs w:val="20"/>
              </w:rPr>
              <w:t xml:space="preserve">the </w:t>
            </w:r>
            <w:r w:rsidRPr="00EC0C2D">
              <w:rPr>
                <w:rFonts w:eastAsia="Times New Roman" w:cstheme="minorHAnsi"/>
                <w:color w:val="000000"/>
                <w:sz w:val="20"/>
                <w:szCs w:val="20"/>
              </w:rPr>
              <w:t>vulnerability of young people.</w:t>
            </w:r>
          </w:p>
          <w:p w:rsidR="00925A60" w:rsidRPr="00EC0C2D" w:rsidRDefault="00925A60" w:rsidP="00542B30">
            <w:pPr>
              <w:spacing w:line="276" w:lineRule="auto"/>
              <w:jc w:val="both"/>
              <w:rPr>
                <w:rFonts w:eastAsia="Times New Roman" w:cstheme="minorHAnsi"/>
                <w:color w:val="000000"/>
                <w:sz w:val="20"/>
                <w:szCs w:val="20"/>
              </w:rPr>
            </w:pPr>
          </w:p>
          <w:p w:rsidR="00925A60" w:rsidRPr="00EC0C2D" w:rsidRDefault="00925A60" w:rsidP="00542B30">
            <w:pPr>
              <w:spacing w:line="276" w:lineRule="auto"/>
              <w:jc w:val="both"/>
              <w:rPr>
                <w:rFonts w:eastAsia="Times New Roman" w:cstheme="minorHAnsi"/>
                <w:color w:val="000000"/>
                <w:sz w:val="20"/>
                <w:szCs w:val="20"/>
              </w:rPr>
            </w:pPr>
            <w:r>
              <w:rPr>
                <w:rFonts w:eastAsia="Times New Roman" w:cstheme="minorHAnsi"/>
                <w:color w:val="000000"/>
                <w:sz w:val="20"/>
                <w:szCs w:val="20"/>
              </w:rPr>
              <w:t>The impacts of e</w:t>
            </w:r>
            <w:r w:rsidRPr="00EC0C2D">
              <w:rPr>
                <w:rFonts w:eastAsia="Times New Roman" w:cstheme="minorHAnsi"/>
                <w:color w:val="000000"/>
                <w:sz w:val="20"/>
                <w:szCs w:val="20"/>
              </w:rPr>
              <w:t xml:space="preserve">conomic shocks or crises </w:t>
            </w:r>
            <w:r>
              <w:rPr>
                <w:rFonts w:eastAsia="Times New Roman" w:cstheme="minorHAnsi"/>
                <w:color w:val="000000"/>
                <w:sz w:val="20"/>
                <w:szCs w:val="20"/>
              </w:rPr>
              <w:t>are mitigated in</w:t>
            </w:r>
            <w:r w:rsidRPr="00EC0C2D">
              <w:rPr>
                <w:rFonts w:eastAsia="Times New Roman" w:cstheme="minorHAnsi"/>
                <w:color w:val="000000"/>
                <w:sz w:val="20"/>
                <w:szCs w:val="20"/>
              </w:rPr>
              <w:t xml:space="preserve"> the </w:t>
            </w:r>
            <w:proofErr w:type="spellStart"/>
            <w:r w:rsidRPr="00EC0C2D">
              <w:rPr>
                <w:rFonts w:eastAsia="Times New Roman" w:cstheme="minorHAnsi"/>
                <w:color w:val="000000"/>
                <w:sz w:val="20"/>
                <w:szCs w:val="20"/>
              </w:rPr>
              <w:t>labour</w:t>
            </w:r>
            <w:proofErr w:type="spellEnd"/>
            <w:r w:rsidRPr="00EC0C2D">
              <w:rPr>
                <w:rFonts w:eastAsia="Times New Roman" w:cstheme="minorHAnsi"/>
                <w:color w:val="000000"/>
                <w:sz w:val="20"/>
                <w:szCs w:val="20"/>
              </w:rPr>
              <w:t xml:space="preserve"> market and business activity</w:t>
            </w:r>
          </w:p>
          <w:p w:rsidR="00925A60" w:rsidRPr="00EC0C2D" w:rsidRDefault="00925A60" w:rsidP="00542B30">
            <w:pPr>
              <w:spacing w:line="276" w:lineRule="auto"/>
              <w:jc w:val="both"/>
              <w:rPr>
                <w:rFonts w:eastAsia="Times New Roman" w:cstheme="minorHAnsi"/>
                <w:color w:val="000000"/>
                <w:sz w:val="20"/>
                <w:szCs w:val="20"/>
              </w:rPr>
            </w:pPr>
          </w:p>
          <w:p w:rsidR="00925A60" w:rsidRPr="00EC0C2D" w:rsidRDefault="00925A60" w:rsidP="00542B30">
            <w:pPr>
              <w:spacing w:line="276" w:lineRule="auto"/>
              <w:jc w:val="both"/>
              <w:rPr>
                <w:sz w:val="20"/>
                <w:szCs w:val="20"/>
              </w:rPr>
            </w:pPr>
            <w:r w:rsidRPr="00EC0C2D">
              <w:rPr>
                <w:sz w:val="20"/>
                <w:szCs w:val="20"/>
              </w:rPr>
              <w:t xml:space="preserve">Economic and business activity is sustained at regional level despite the impacts of pandemic, armed </w:t>
            </w:r>
            <w:r w:rsidRPr="00EC0C2D">
              <w:rPr>
                <w:sz w:val="20"/>
                <w:szCs w:val="20"/>
              </w:rPr>
              <w:lastRenderedPageBreak/>
              <w:t>conflict or political and social instability.</w:t>
            </w:r>
          </w:p>
          <w:p w:rsidR="00925A60" w:rsidRPr="00EC0C2D" w:rsidRDefault="00925A60" w:rsidP="00542B30">
            <w:pPr>
              <w:spacing w:line="360" w:lineRule="auto"/>
              <w:jc w:val="both"/>
              <w:rPr>
                <w:sz w:val="20"/>
                <w:szCs w:val="20"/>
              </w:rPr>
            </w:pPr>
          </w:p>
          <w:p w:rsidR="00925A60" w:rsidRPr="00EC0C2D" w:rsidRDefault="00925A60" w:rsidP="00542B30">
            <w:pPr>
              <w:spacing w:line="360" w:lineRule="auto"/>
              <w:jc w:val="both"/>
              <w:rPr>
                <w:sz w:val="20"/>
                <w:szCs w:val="20"/>
              </w:rPr>
            </w:pPr>
          </w:p>
        </w:tc>
      </w:tr>
      <w:tr w:rsidR="00925A60" w:rsidRPr="00417C6D" w:rsidDel="00E04C39" w:rsidTr="00925A60">
        <w:trPr>
          <w:trHeight w:val="1305"/>
        </w:trPr>
        <w:tc>
          <w:tcPr>
            <w:tcW w:w="198" w:type="pct"/>
            <w:vMerge/>
            <w:shd w:val="clear" w:color="auto" w:fill="7030A0"/>
            <w:vAlign w:val="center"/>
          </w:tcPr>
          <w:p w:rsidR="00925A60" w:rsidRPr="00266C6D" w:rsidRDefault="00925A60" w:rsidP="00542B30">
            <w:pPr>
              <w:rPr>
                <w:rFonts w:asciiTheme="majorHAnsi" w:hAnsiTheme="majorHAnsi" w:cstheme="majorHAnsi"/>
                <w:b/>
                <w:bCs/>
                <w:color w:val="FFFFFF" w:themeColor="background1"/>
                <w:sz w:val="20"/>
                <w:szCs w:val="20"/>
              </w:rPr>
            </w:pPr>
          </w:p>
        </w:tc>
        <w:tc>
          <w:tcPr>
            <w:tcW w:w="1051" w:type="pct"/>
            <w:vMerge/>
            <w:vAlign w:val="center"/>
          </w:tcPr>
          <w:p w:rsidR="00925A60" w:rsidRPr="002E1730" w:rsidDel="004C3D0B" w:rsidRDefault="00925A60" w:rsidP="00542B30">
            <w:pPr>
              <w:spacing w:line="360" w:lineRule="auto"/>
              <w:jc w:val="both"/>
              <w:rPr>
                <w:rFonts w:asciiTheme="majorHAnsi" w:hAnsiTheme="majorHAnsi" w:cstheme="majorHAnsi"/>
                <w:sz w:val="20"/>
                <w:szCs w:val="20"/>
                <w:lang w:val="en-GB"/>
              </w:rPr>
            </w:pPr>
          </w:p>
        </w:tc>
        <w:tc>
          <w:tcPr>
            <w:tcW w:w="1421" w:type="pct"/>
          </w:tcPr>
          <w:p w:rsidR="00925A60" w:rsidRPr="00925A60" w:rsidRDefault="00925A60" w:rsidP="00542B30">
            <w:pPr>
              <w:spacing w:line="360" w:lineRule="auto"/>
              <w:jc w:val="both"/>
              <w:rPr>
                <w:rFonts w:asciiTheme="majorHAnsi" w:hAnsiTheme="majorHAnsi" w:cstheme="majorHAnsi"/>
                <w:sz w:val="20"/>
                <w:szCs w:val="20"/>
                <w:highlight w:val="yellow"/>
              </w:rPr>
            </w:pPr>
            <w:r w:rsidRPr="00925A60">
              <w:rPr>
                <w:rFonts w:asciiTheme="majorHAnsi" w:hAnsiTheme="majorHAnsi" w:cstheme="majorHAnsi"/>
                <w:sz w:val="20"/>
                <w:szCs w:val="20"/>
                <w:highlight w:val="yellow"/>
                <w:lang w:val="en-GB"/>
              </w:rPr>
              <w:t xml:space="preserve">2. Number of supported businesses, social enterprises </w:t>
            </w:r>
            <w:r w:rsidRPr="00925A60">
              <w:rPr>
                <w:rFonts w:asciiTheme="majorHAnsi" w:hAnsiTheme="majorHAnsi" w:cstheme="majorHAnsi"/>
                <w:sz w:val="20"/>
                <w:szCs w:val="20"/>
                <w:highlight w:val="yellow"/>
              </w:rPr>
              <w:t>and</w:t>
            </w:r>
            <w:r w:rsidRPr="00925A60">
              <w:rPr>
                <w:rFonts w:asciiTheme="majorHAnsi" w:hAnsiTheme="majorHAnsi" w:cstheme="majorHAnsi"/>
                <w:sz w:val="20"/>
                <w:szCs w:val="20"/>
                <w:highlight w:val="yellow"/>
                <w:lang w:val="en-GB"/>
              </w:rPr>
              <w:t>/or cooperatives reporting increased turnover (OPSYS CORE Indicator) Disaggregated by sex of the ownership, age and governorate</w:t>
            </w:r>
          </w:p>
        </w:tc>
        <w:tc>
          <w:tcPr>
            <w:tcW w:w="284" w:type="pct"/>
            <w:vAlign w:val="center"/>
          </w:tcPr>
          <w:p w:rsidR="00925A60" w:rsidRPr="00925A60" w:rsidRDefault="00925A60" w:rsidP="00542B30">
            <w:pPr>
              <w:jc w:val="center"/>
              <w:rPr>
                <w:rFonts w:asciiTheme="majorHAnsi" w:hAnsiTheme="majorHAnsi" w:cstheme="majorHAnsi"/>
                <w:sz w:val="20"/>
                <w:szCs w:val="20"/>
                <w:highlight w:val="yellow"/>
              </w:rPr>
            </w:pPr>
            <w:r w:rsidRPr="00925A60">
              <w:rPr>
                <w:highlight w:val="yellow"/>
              </w:rPr>
              <w:t>0</w:t>
            </w:r>
          </w:p>
        </w:tc>
        <w:tc>
          <w:tcPr>
            <w:tcW w:w="426" w:type="pct"/>
            <w:vAlign w:val="center"/>
          </w:tcPr>
          <w:p w:rsidR="00925A60" w:rsidRPr="00925A60" w:rsidRDefault="00925A60" w:rsidP="00542B30">
            <w:pPr>
              <w:jc w:val="center"/>
              <w:rPr>
                <w:rFonts w:asciiTheme="majorHAnsi" w:hAnsiTheme="majorHAnsi" w:cstheme="majorHAnsi"/>
                <w:sz w:val="20"/>
                <w:szCs w:val="20"/>
                <w:highlight w:val="yellow"/>
                <w:lang w:val="en-GB"/>
              </w:rPr>
            </w:pPr>
            <w:r w:rsidRPr="00925A60">
              <w:rPr>
                <w:rFonts w:asciiTheme="majorHAnsi" w:hAnsiTheme="majorHAnsi" w:cstheme="majorHAnsi"/>
                <w:sz w:val="20"/>
                <w:szCs w:val="20"/>
                <w:highlight w:val="yellow"/>
                <w:lang w:val="en-GB"/>
              </w:rPr>
              <w:t xml:space="preserve">3,200 </w:t>
            </w:r>
          </w:p>
        </w:tc>
        <w:tc>
          <w:tcPr>
            <w:tcW w:w="598" w:type="pct"/>
            <w:vAlign w:val="center"/>
          </w:tcPr>
          <w:p w:rsidR="00925A60" w:rsidRPr="00925A60" w:rsidRDefault="00925A60" w:rsidP="00542B30">
            <w:pPr>
              <w:spacing w:line="360" w:lineRule="auto"/>
              <w:jc w:val="both"/>
              <w:rPr>
                <w:rFonts w:asciiTheme="majorHAnsi" w:hAnsiTheme="majorHAnsi" w:cstheme="majorHAnsi"/>
                <w:sz w:val="20"/>
                <w:szCs w:val="20"/>
                <w:highlight w:val="yellow"/>
                <w:lang w:val="en-GB"/>
              </w:rPr>
            </w:pPr>
            <w:r w:rsidRPr="00925A60">
              <w:rPr>
                <w:rFonts w:asciiTheme="majorHAnsi" w:hAnsiTheme="majorHAnsi" w:cstheme="majorHAnsi"/>
                <w:sz w:val="20"/>
                <w:szCs w:val="20"/>
                <w:highlight w:val="yellow"/>
              </w:rPr>
              <w:t>Intervention´s monitoring system (Business / entrepreneurship diagnosis)</w:t>
            </w:r>
          </w:p>
        </w:tc>
        <w:tc>
          <w:tcPr>
            <w:tcW w:w="1022" w:type="pct"/>
            <w:vMerge/>
            <w:vAlign w:val="center"/>
          </w:tcPr>
          <w:p w:rsidR="00925A60" w:rsidRPr="00417C6D" w:rsidDel="00E04C39" w:rsidRDefault="00925A60" w:rsidP="00542B30">
            <w:pPr>
              <w:spacing w:line="360" w:lineRule="auto"/>
              <w:jc w:val="both"/>
              <w:rPr>
                <w:rFonts w:asciiTheme="majorHAnsi" w:hAnsiTheme="majorHAnsi" w:cstheme="majorHAnsi"/>
                <w:sz w:val="20"/>
                <w:szCs w:val="20"/>
              </w:rPr>
            </w:pPr>
          </w:p>
        </w:tc>
      </w:tr>
      <w:tr w:rsidR="00925A60" w:rsidRPr="00417C6D" w:rsidDel="00E04C39" w:rsidTr="00925A60">
        <w:trPr>
          <w:trHeight w:val="918"/>
        </w:trPr>
        <w:tc>
          <w:tcPr>
            <w:tcW w:w="198" w:type="pct"/>
            <w:vMerge/>
            <w:shd w:val="clear" w:color="auto" w:fill="7030A0"/>
            <w:vAlign w:val="center"/>
          </w:tcPr>
          <w:p w:rsidR="00925A60" w:rsidRPr="00266C6D" w:rsidRDefault="00925A60" w:rsidP="00542B30">
            <w:pPr>
              <w:rPr>
                <w:rFonts w:asciiTheme="majorHAnsi" w:hAnsiTheme="majorHAnsi" w:cstheme="majorHAnsi"/>
                <w:b/>
                <w:bCs/>
                <w:color w:val="FFFFFF" w:themeColor="background1"/>
                <w:sz w:val="20"/>
                <w:szCs w:val="20"/>
              </w:rPr>
            </w:pPr>
          </w:p>
        </w:tc>
        <w:tc>
          <w:tcPr>
            <w:tcW w:w="1051" w:type="pct"/>
            <w:vMerge/>
            <w:vAlign w:val="center"/>
          </w:tcPr>
          <w:p w:rsidR="00925A60" w:rsidRPr="002E1730" w:rsidDel="004C3D0B" w:rsidRDefault="00925A60" w:rsidP="00542B30">
            <w:pPr>
              <w:spacing w:line="360" w:lineRule="auto"/>
              <w:jc w:val="both"/>
              <w:rPr>
                <w:rFonts w:asciiTheme="majorHAnsi" w:hAnsiTheme="majorHAnsi" w:cstheme="majorHAnsi"/>
                <w:sz w:val="20"/>
                <w:szCs w:val="20"/>
                <w:lang w:val="en-GB"/>
              </w:rPr>
            </w:pPr>
          </w:p>
        </w:tc>
        <w:tc>
          <w:tcPr>
            <w:tcW w:w="1421" w:type="pct"/>
          </w:tcPr>
          <w:p w:rsidR="00925A60" w:rsidRDefault="00925A60" w:rsidP="00542B30">
            <w:pPr>
              <w:spacing w:line="360" w:lineRule="auto"/>
              <w:jc w:val="both"/>
              <w:rPr>
                <w:rFonts w:asciiTheme="majorHAnsi" w:hAnsiTheme="majorHAnsi" w:cstheme="majorHAnsi"/>
                <w:sz w:val="20"/>
                <w:szCs w:val="20"/>
                <w:lang w:val="en-GB"/>
              </w:rPr>
            </w:pPr>
            <w:r>
              <w:rPr>
                <w:rFonts w:asciiTheme="majorHAnsi" w:hAnsiTheme="majorHAnsi" w:cstheme="majorHAnsi"/>
                <w:sz w:val="20"/>
                <w:szCs w:val="20"/>
                <w:lang w:val="en-GB"/>
              </w:rPr>
              <w:t xml:space="preserve">3. </w:t>
            </w:r>
            <w:r w:rsidRPr="007F360D">
              <w:rPr>
                <w:rFonts w:asciiTheme="majorHAnsi" w:hAnsiTheme="majorHAnsi" w:cstheme="majorHAnsi"/>
                <w:sz w:val="20"/>
                <w:szCs w:val="20"/>
                <w:lang w:val="en-GB"/>
              </w:rPr>
              <w:t>Number of young entrepreneurs and/or business owners with access to financial services</w:t>
            </w:r>
            <w:r>
              <w:rPr>
                <w:rFonts w:asciiTheme="majorHAnsi" w:hAnsiTheme="majorHAnsi" w:cstheme="majorHAnsi"/>
                <w:sz w:val="20"/>
                <w:szCs w:val="20"/>
                <w:lang w:val="en-GB"/>
              </w:rPr>
              <w:t xml:space="preserve"> with EU support</w:t>
            </w:r>
            <w:r w:rsidRPr="007F360D">
              <w:rPr>
                <w:rFonts w:asciiTheme="majorHAnsi" w:hAnsiTheme="majorHAnsi" w:cstheme="majorHAnsi"/>
                <w:sz w:val="20"/>
                <w:szCs w:val="20"/>
                <w:lang w:val="en-GB"/>
              </w:rPr>
              <w:t xml:space="preserve"> (GERF 2.17</w:t>
            </w:r>
            <w:r>
              <w:rPr>
                <w:rFonts w:asciiTheme="majorHAnsi" w:hAnsiTheme="majorHAnsi" w:cstheme="majorHAnsi"/>
                <w:sz w:val="20"/>
                <w:szCs w:val="20"/>
                <w:lang w:val="en-GB"/>
              </w:rPr>
              <w:t xml:space="preserve"> a</w:t>
            </w:r>
            <w:r w:rsidRPr="007F360D">
              <w:rPr>
                <w:rFonts w:asciiTheme="majorHAnsi" w:hAnsiTheme="majorHAnsi" w:cstheme="majorHAnsi"/>
                <w:sz w:val="20"/>
                <w:szCs w:val="20"/>
                <w:lang w:val="en-GB"/>
              </w:rPr>
              <w:t>)</w:t>
            </w:r>
            <w:r>
              <w:rPr>
                <w:rFonts w:asciiTheme="majorHAnsi" w:hAnsiTheme="majorHAnsi" w:cstheme="majorHAnsi"/>
                <w:sz w:val="20"/>
                <w:szCs w:val="20"/>
                <w:lang w:val="en-GB"/>
              </w:rPr>
              <w:t xml:space="preserve"> </w:t>
            </w:r>
            <w:r>
              <w:rPr>
                <w:rFonts w:asciiTheme="majorHAnsi" w:hAnsiTheme="majorHAnsi" w:cstheme="majorHAnsi"/>
                <w:sz w:val="20"/>
                <w:szCs w:val="20"/>
                <w:lang w:val="en-GB"/>
              </w:rPr>
              <w:lastRenderedPageBreak/>
              <w:t>Disaggregated by sex, age and governorate</w:t>
            </w:r>
          </w:p>
          <w:p w:rsidR="00925A60" w:rsidRDefault="00925A60" w:rsidP="00542B30">
            <w:pPr>
              <w:spacing w:line="276" w:lineRule="auto"/>
              <w:rPr>
                <w:rFonts w:asciiTheme="majorHAnsi" w:hAnsiTheme="majorHAnsi" w:cstheme="majorHAnsi"/>
                <w:sz w:val="20"/>
                <w:szCs w:val="20"/>
                <w:lang w:val="en-GB"/>
              </w:rPr>
            </w:pPr>
          </w:p>
        </w:tc>
        <w:tc>
          <w:tcPr>
            <w:tcW w:w="284" w:type="pct"/>
            <w:vAlign w:val="center"/>
          </w:tcPr>
          <w:p w:rsidR="00925A60" w:rsidRDefault="00925A60" w:rsidP="00542B30">
            <w:pPr>
              <w:jc w:val="center"/>
              <w:rPr>
                <w:rFonts w:asciiTheme="majorHAnsi" w:hAnsiTheme="majorHAnsi" w:cstheme="majorHAnsi"/>
                <w:sz w:val="20"/>
                <w:szCs w:val="20"/>
              </w:rPr>
            </w:pPr>
            <w:r>
              <w:lastRenderedPageBreak/>
              <w:t>0</w:t>
            </w:r>
          </w:p>
        </w:tc>
        <w:tc>
          <w:tcPr>
            <w:tcW w:w="426" w:type="pct"/>
            <w:vAlign w:val="center"/>
          </w:tcPr>
          <w:p w:rsidR="00925A60" w:rsidRPr="00D92693" w:rsidRDefault="00925A60" w:rsidP="00542B30">
            <w:pPr>
              <w:jc w:val="center"/>
              <w:rPr>
                <w:rFonts w:asciiTheme="majorHAnsi" w:hAnsiTheme="majorHAnsi" w:cstheme="majorHAnsi"/>
                <w:sz w:val="20"/>
                <w:szCs w:val="20"/>
                <w:lang w:val="en-GB"/>
              </w:rPr>
            </w:pPr>
            <w:r>
              <w:rPr>
                <w:rFonts w:asciiTheme="majorHAnsi" w:hAnsiTheme="majorHAnsi" w:cstheme="majorHAnsi"/>
                <w:sz w:val="20"/>
                <w:szCs w:val="20"/>
                <w:lang w:val="en-GB"/>
              </w:rPr>
              <w:t>14</w:t>
            </w:r>
            <w:r w:rsidRPr="00D92693">
              <w:rPr>
                <w:rFonts w:asciiTheme="majorHAnsi" w:hAnsiTheme="majorHAnsi" w:cstheme="majorHAnsi"/>
                <w:sz w:val="20"/>
                <w:szCs w:val="20"/>
                <w:lang w:val="en-GB"/>
              </w:rPr>
              <w:t>,</w:t>
            </w:r>
            <w:r>
              <w:rPr>
                <w:rFonts w:asciiTheme="majorHAnsi" w:hAnsiTheme="majorHAnsi" w:cstheme="majorHAnsi"/>
                <w:sz w:val="20"/>
                <w:szCs w:val="20"/>
                <w:lang w:val="en-GB"/>
              </w:rPr>
              <w:t>286</w:t>
            </w:r>
          </w:p>
        </w:tc>
        <w:tc>
          <w:tcPr>
            <w:tcW w:w="598" w:type="pct"/>
            <w:vAlign w:val="center"/>
          </w:tcPr>
          <w:p w:rsidR="00925A60" w:rsidRPr="007D3BA4" w:rsidRDefault="00925A60" w:rsidP="00542B30">
            <w:pPr>
              <w:spacing w:line="360" w:lineRule="auto"/>
              <w:jc w:val="both"/>
              <w:rPr>
                <w:rFonts w:asciiTheme="majorHAnsi" w:hAnsiTheme="majorHAnsi" w:cstheme="majorHAnsi"/>
                <w:sz w:val="18"/>
                <w:szCs w:val="18"/>
                <w:lang w:val="en-GB"/>
              </w:rPr>
            </w:pPr>
            <w:r w:rsidRPr="007D3BA4">
              <w:rPr>
                <w:rFonts w:asciiTheme="majorHAnsi" w:hAnsiTheme="majorHAnsi" w:cstheme="majorHAnsi"/>
                <w:sz w:val="18"/>
                <w:szCs w:val="18"/>
              </w:rPr>
              <w:t>Intervention´s monitoring system (Financial institution´s report)</w:t>
            </w:r>
          </w:p>
        </w:tc>
        <w:tc>
          <w:tcPr>
            <w:tcW w:w="1022" w:type="pct"/>
            <w:vMerge/>
            <w:vAlign w:val="center"/>
          </w:tcPr>
          <w:p w:rsidR="00925A60" w:rsidRPr="00417C6D" w:rsidDel="00E04C39" w:rsidRDefault="00925A60" w:rsidP="00542B30">
            <w:pPr>
              <w:spacing w:line="360" w:lineRule="auto"/>
              <w:jc w:val="both"/>
              <w:rPr>
                <w:rFonts w:asciiTheme="majorHAnsi" w:hAnsiTheme="majorHAnsi" w:cstheme="majorHAnsi"/>
                <w:sz w:val="20"/>
                <w:szCs w:val="20"/>
              </w:rPr>
            </w:pPr>
          </w:p>
        </w:tc>
      </w:tr>
      <w:tr w:rsidR="00925A60" w:rsidRPr="00417C6D" w:rsidDel="00E04C39" w:rsidTr="00925A60">
        <w:trPr>
          <w:trHeight w:val="918"/>
        </w:trPr>
        <w:tc>
          <w:tcPr>
            <w:tcW w:w="198" w:type="pct"/>
            <w:vMerge/>
            <w:shd w:val="clear" w:color="auto" w:fill="7030A0"/>
            <w:vAlign w:val="center"/>
          </w:tcPr>
          <w:p w:rsidR="00925A60" w:rsidRPr="00266C6D" w:rsidRDefault="00925A60" w:rsidP="00542B30">
            <w:pPr>
              <w:rPr>
                <w:rFonts w:asciiTheme="majorHAnsi" w:hAnsiTheme="majorHAnsi" w:cstheme="majorHAnsi"/>
                <w:b/>
                <w:bCs/>
                <w:color w:val="FFFFFF" w:themeColor="background1"/>
                <w:sz w:val="20"/>
                <w:szCs w:val="20"/>
              </w:rPr>
            </w:pPr>
          </w:p>
        </w:tc>
        <w:tc>
          <w:tcPr>
            <w:tcW w:w="1051" w:type="pct"/>
            <w:vMerge/>
            <w:vAlign w:val="center"/>
          </w:tcPr>
          <w:p w:rsidR="00925A60" w:rsidRPr="002E1730" w:rsidDel="004C3D0B" w:rsidRDefault="00925A60" w:rsidP="00542B30">
            <w:pPr>
              <w:spacing w:line="360" w:lineRule="auto"/>
              <w:jc w:val="both"/>
              <w:rPr>
                <w:rFonts w:asciiTheme="majorHAnsi" w:hAnsiTheme="majorHAnsi" w:cstheme="majorHAnsi"/>
                <w:sz w:val="20"/>
                <w:szCs w:val="20"/>
                <w:lang w:val="en-GB"/>
              </w:rPr>
            </w:pPr>
          </w:p>
        </w:tc>
        <w:tc>
          <w:tcPr>
            <w:tcW w:w="1421" w:type="pct"/>
          </w:tcPr>
          <w:p w:rsidR="00925A60" w:rsidRPr="00064DB6" w:rsidRDefault="00925A60" w:rsidP="00542B30">
            <w:pPr>
              <w:spacing w:line="360" w:lineRule="auto"/>
              <w:jc w:val="both"/>
              <w:rPr>
                <w:rFonts w:asciiTheme="majorHAnsi" w:hAnsiTheme="majorHAnsi" w:cstheme="majorHAnsi"/>
                <w:color w:val="000000" w:themeColor="text1"/>
                <w:sz w:val="20"/>
                <w:szCs w:val="20"/>
                <w:lang w:val="en-GB"/>
              </w:rPr>
            </w:pPr>
            <w:r w:rsidRPr="00064DB6">
              <w:rPr>
                <w:rFonts w:asciiTheme="majorHAnsi" w:hAnsiTheme="majorHAnsi" w:cstheme="majorHAnsi"/>
                <w:color w:val="000000" w:themeColor="text1"/>
                <w:sz w:val="20"/>
                <w:szCs w:val="20"/>
                <w:lang w:val="en-GB"/>
              </w:rPr>
              <w:t>4. % of supported businesses that are implementing solutions based on renewable energy or digitalisation (Disaggregated by sector and governorate)</w:t>
            </w:r>
          </w:p>
        </w:tc>
        <w:tc>
          <w:tcPr>
            <w:tcW w:w="284" w:type="pct"/>
            <w:shd w:val="clear" w:color="auto" w:fill="auto"/>
            <w:vAlign w:val="center"/>
          </w:tcPr>
          <w:p w:rsidR="00925A60" w:rsidRDefault="00925A60" w:rsidP="00542B30">
            <w:pPr>
              <w:jc w:val="center"/>
              <w:rPr>
                <w:rFonts w:asciiTheme="majorHAnsi" w:hAnsiTheme="majorHAnsi" w:cstheme="majorHAnsi"/>
                <w:sz w:val="20"/>
                <w:szCs w:val="20"/>
              </w:rPr>
            </w:pPr>
            <w:r>
              <w:t>0</w:t>
            </w:r>
          </w:p>
        </w:tc>
        <w:tc>
          <w:tcPr>
            <w:tcW w:w="426" w:type="pct"/>
            <w:shd w:val="clear" w:color="auto" w:fill="auto"/>
            <w:vAlign w:val="center"/>
          </w:tcPr>
          <w:p w:rsidR="00925A60" w:rsidRPr="00D92693" w:rsidRDefault="00925A60" w:rsidP="00542B30">
            <w:pPr>
              <w:jc w:val="center"/>
              <w:rPr>
                <w:rFonts w:asciiTheme="majorHAnsi" w:hAnsiTheme="majorHAnsi" w:cstheme="majorHAnsi"/>
                <w:sz w:val="20"/>
                <w:szCs w:val="20"/>
                <w:lang w:val="en-GB"/>
              </w:rPr>
            </w:pPr>
            <w:r w:rsidRPr="00D92693">
              <w:rPr>
                <w:rFonts w:asciiTheme="majorHAnsi" w:hAnsiTheme="majorHAnsi" w:cstheme="majorHAnsi"/>
                <w:sz w:val="20"/>
                <w:szCs w:val="20"/>
                <w:lang w:val="en-GB"/>
              </w:rPr>
              <w:t xml:space="preserve">3,200 </w:t>
            </w:r>
          </w:p>
        </w:tc>
        <w:tc>
          <w:tcPr>
            <w:tcW w:w="598" w:type="pct"/>
            <w:vAlign w:val="center"/>
          </w:tcPr>
          <w:p w:rsidR="00925A60" w:rsidRPr="007D3BA4" w:rsidRDefault="00925A60" w:rsidP="00542B30">
            <w:pPr>
              <w:spacing w:line="360" w:lineRule="auto"/>
              <w:jc w:val="both"/>
              <w:rPr>
                <w:rFonts w:asciiTheme="majorHAnsi" w:hAnsiTheme="majorHAnsi" w:cstheme="majorHAnsi"/>
                <w:sz w:val="18"/>
                <w:szCs w:val="18"/>
                <w:lang w:val="en-GB"/>
              </w:rPr>
            </w:pPr>
            <w:r w:rsidRPr="007D3BA4">
              <w:rPr>
                <w:rFonts w:asciiTheme="majorHAnsi" w:hAnsiTheme="majorHAnsi" w:cstheme="majorHAnsi"/>
                <w:sz w:val="18"/>
                <w:szCs w:val="18"/>
              </w:rPr>
              <w:t>Intervention´s monitoring system (Business / entrepreneurship diagnosis)</w:t>
            </w:r>
          </w:p>
        </w:tc>
        <w:tc>
          <w:tcPr>
            <w:tcW w:w="1022" w:type="pct"/>
            <w:vMerge/>
            <w:vAlign w:val="center"/>
          </w:tcPr>
          <w:p w:rsidR="00925A60" w:rsidRPr="00417C6D" w:rsidDel="00E04C39" w:rsidRDefault="00925A60" w:rsidP="00542B30">
            <w:pPr>
              <w:spacing w:line="360" w:lineRule="auto"/>
              <w:jc w:val="both"/>
              <w:rPr>
                <w:rFonts w:asciiTheme="majorHAnsi" w:hAnsiTheme="majorHAnsi" w:cstheme="majorHAnsi"/>
                <w:sz w:val="20"/>
                <w:szCs w:val="20"/>
              </w:rPr>
            </w:pPr>
          </w:p>
        </w:tc>
      </w:tr>
      <w:tr w:rsidR="00925A60" w:rsidRPr="00417C6D" w:rsidDel="00E04C39" w:rsidTr="00925A60">
        <w:trPr>
          <w:trHeight w:val="918"/>
        </w:trPr>
        <w:tc>
          <w:tcPr>
            <w:tcW w:w="198" w:type="pct"/>
            <w:vMerge/>
            <w:shd w:val="clear" w:color="auto" w:fill="7030A0"/>
            <w:vAlign w:val="center"/>
          </w:tcPr>
          <w:p w:rsidR="00925A60" w:rsidRPr="00266C6D" w:rsidRDefault="00925A60" w:rsidP="00542B30">
            <w:pPr>
              <w:rPr>
                <w:rFonts w:asciiTheme="majorHAnsi" w:hAnsiTheme="majorHAnsi" w:cstheme="majorHAnsi"/>
                <w:b/>
                <w:bCs/>
                <w:color w:val="FFFFFF" w:themeColor="background1"/>
                <w:sz w:val="20"/>
                <w:szCs w:val="20"/>
              </w:rPr>
            </w:pPr>
          </w:p>
        </w:tc>
        <w:tc>
          <w:tcPr>
            <w:tcW w:w="1051" w:type="pct"/>
            <w:vMerge/>
            <w:vAlign w:val="center"/>
          </w:tcPr>
          <w:p w:rsidR="00925A60" w:rsidRPr="002E1730" w:rsidDel="004C3D0B" w:rsidRDefault="00925A60" w:rsidP="00542B30">
            <w:pPr>
              <w:spacing w:line="360" w:lineRule="auto"/>
              <w:jc w:val="both"/>
              <w:rPr>
                <w:rFonts w:asciiTheme="majorHAnsi" w:hAnsiTheme="majorHAnsi" w:cstheme="majorHAnsi"/>
                <w:sz w:val="20"/>
                <w:szCs w:val="20"/>
                <w:lang w:val="en-GB"/>
              </w:rPr>
            </w:pPr>
          </w:p>
        </w:tc>
        <w:tc>
          <w:tcPr>
            <w:tcW w:w="1421" w:type="pct"/>
          </w:tcPr>
          <w:p w:rsidR="00925A60" w:rsidRPr="00C76062" w:rsidRDefault="00925A60" w:rsidP="00542B30">
            <w:pPr>
              <w:spacing w:line="360" w:lineRule="auto"/>
              <w:jc w:val="both"/>
              <w:rPr>
                <w:rFonts w:asciiTheme="majorHAnsi" w:hAnsiTheme="majorHAnsi" w:cstheme="majorHAnsi"/>
                <w:sz w:val="20"/>
                <w:szCs w:val="20"/>
                <w:lang w:val="en-GB"/>
              </w:rPr>
            </w:pPr>
            <w:r w:rsidRPr="00064DB6">
              <w:rPr>
                <w:rFonts w:asciiTheme="majorHAnsi" w:hAnsiTheme="majorHAnsi" w:cstheme="majorHAnsi"/>
                <w:color w:val="000000" w:themeColor="text1"/>
                <w:sz w:val="20"/>
                <w:szCs w:val="20"/>
                <w:lang w:val="en-GB"/>
              </w:rPr>
              <w:t>5. Number of young entrepreneurs using electronic financial services (GERF 2.17 b) with EU support (Disaggregated by sex, age and governorate)</w:t>
            </w:r>
          </w:p>
        </w:tc>
        <w:tc>
          <w:tcPr>
            <w:tcW w:w="284" w:type="pct"/>
            <w:vAlign w:val="center"/>
          </w:tcPr>
          <w:p w:rsidR="00925A60" w:rsidRDefault="00925A60" w:rsidP="00542B30">
            <w:pPr>
              <w:jc w:val="center"/>
              <w:rPr>
                <w:rFonts w:asciiTheme="majorHAnsi" w:hAnsiTheme="majorHAnsi" w:cstheme="majorHAnsi"/>
                <w:sz w:val="20"/>
                <w:szCs w:val="20"/>
              </w:rPr>
            </w:pPr>
            <w:r>
              <w:t>0</w:t>
            </w:r>
          </w:p>
        </w:tc>
        <w:tc>
          <w:tcPr>
            <w:tcW w:w="426" w:type="pct"/>
            <w:vAlign w:val="center"/>
          </w:tcPr>
          <w:p w:rsidR="00925A60" w:rsidRPr="00D92693" w:rsidRDefault="00925A60" w:rsidP="00542B30">
            <w:pPr>
              <w:jc w:val="center"/>
              <w:rPr>
                <w:rFonts w:asciiTheme="majorHAnsi" w:hAnsiTheme="majorHAnsi" w:cstheme="majorHAnsi"/>
                <w:sz w:val="20"/>
                <w:szCs w:val="20"/>
                <w:lang w:val="en-GB"/>
              </w:rPr>
            </w:pPr>
            <w:r>
              <w:rPr>
                <w:rFonts w:asciiTheme="majorHAnsi" w:hAnsiTheme="majorHAnsi" w:cstheme="majorHAnsi"/>
                <w:sz w:val="20"/>
                <w:szCs w:val="20"/>
                <w:lang w:val="en-GB"/>
              </w:rPr>
              <w:t>17</w:t>
            </w:r>
            <w:r w:rsidRPr="00D92693">
              <w:rPr>
                <w:rFonts w:asciiTheme="majorHAnsi" w:hAnsiTheme="majorHAnsi" w:cstheme="majorHAnsi"/>
                <w:sz w:val="20"/>
                <w:szCs w:val="20"/>
                <w:lang w:val="en-GB"/>
              </w:rPr>
              <w:t>,</w:t>
            </w:r>
            <w:r>
              <w:rPr>
                <w:rFonts w:asciiTheme="majorHAnsi" w:hAnsiTheme="majorHAnsi" w:cstheme="majorHAnsi"/>
                <w:sz w:val="20"/>
                <w:szCs w:val="20"/>
                <w:lang w:val="en-GB"/>
              </w:rPr>
              <w:t>486</w:t>
            </w:r>
          </w:p>
        </w:tc>
        <w:tc>
          <w:tcPr>
            <w:tcW w:w="598" w:type="pct"/>
            <w:vAlign w:val="center"/>
          </w:tcPr>
          <w:p w:rsidR="00925A60" w:rsidRPr="002E1730" w:rsidRDefault="00925A60" w:rsidP="00542B30">
            <w:pPr>
              <w:spacing w:line="360" w:lineRule="auto"/>
              <w:jc w:val="both"/>
              <w:rPr>
                <w:rFonts w:asciiTheme="majorHAnsi" w:hAnsiTheme="majorHAnsi" w:cstheme="majorHAnsi"/>
                <w:sz w:val="20"/>
                <w:szCs w:val="20"/>
                <w:lang w:val="en-GB"/>
              </w:rPr>
            </w:pPr>
            <w:r w:rsidRPr="004005FA">
              <w:rPr>
                <w:rFonts w:asciiTheme="majorHAnsi" w:hAnsiTheme="majorHAnsi" w:cstheme="majorHAnsi"/>
                <w:sz w:val="20"/>
                <w:szCs w:val="20"/>
              </w:rPr>
              <w:t>Intervention</w:t>
            </w:r>
            <w:r>
              <w:rPr>
                <w:rFonts w:asciiTheme="majorHAnsi" w:hAnsiTheme="majorHAnsi" w:cstheme="majorHAnsi"/>
                <w:sz w:val="20"/>
                <w:szCs w:val="20"/>
              </w:rPr>
              <w:t>´</w:t>
            </w:r>
            <w:r w:rsidRPr="004005FA">
              <w:rPr>
                <w:rFonts w:asciiTheme="majorHAnsi" w:hAnsiTheme="majorHAnsi" w:cstheme="majorHAnsi"/>
                <w:sz w:val="20"/>
                <w:szCs w:val="20"/>
              </w:rPr>
              <w:t xml:space="preserve">s monitoring system </w:t>
            </w:r>
            <w:r>
              <w:rPr>
                <w:rFonts w:asciiTheme="majorHAnsi" w:hAnsiTheme="majorHAnsi" w:cstheme="majorHAnsi"/>
                <w:sz w:val="20"/>
                <w:szCs w:val="20"/>
              </w:rPr>
              <w:t>(Financial institution´s report)</w:t>
            </w:r>
          </w:p>
        </w:tc>
        <w:tc>
          <w:tcPr>
            <w:tcW w:w="1022" w:type="pct"/>
            <w:vMerge/>
            <w:vAlign w:val="center"/>
          </w:tcPr>
          <w:p w:rsidR="00925A60" w:rsidRPr="00417C6D" w:rsidDel="00E04C39" w:rsidRDefault="00925A60" w:rsidP="00542B30">
            <w:pPr>
              <w:spacing w:line="360" w:lineRule="auto"/>
              <w:jc w:val="both"/>
              <w:rPr>
                <w:rFonts w:asciiTheme="majorHAnsi" w:hAnsiTheme="majorHAnsi" w:cstheme="majorHAnsi"/>
                <w:sz w:val="20"/>
                <w:szCs w:val="20"/>
              </w:rPr>
            </w:pPr>
          </w:p>
        </w:tc>
      </w:tr>
      <w:tr w:rsidR="00925A60" w:rsidRPr="002E1730" w:rsidTr="00925A60">
        <w:trPr>
          <w:trHeight w:val="870"/>
        </w:trPr>
        <w:tc>
          <w:tcPr>
            <w:tcW w:w="198" w:type="pct"/>
            <w:vMerge/>
            <w:shd w:val="clear" w:color="auto" w:fill="7030A0"/>
          </w:tcPr>
          <w:p w:rsidR="00925A60" w:rsidRPr="00266C6D" w:rsidRDefault="00925A60" w:rsidP="00542B30">
            <w:pPr>
              <w:rPr>
                <w:b/>
                <w:bCs/>
                <w:color w:val="FFFFFF" w:themeColor="background1"/>
              </w:rPr>
            </w:pPr>
          </w:p>
        </w:tc>
        <w:tc>
          <w:tcPr>
            <w:tcW w:w="1051" w:type="pct"/>
            <w:vMerge/>
            <w:vAlign w:val="center"/>
          </w:tcPr>
          <w:p w:rsidR="00925A60" w:rsidRPr="0090175F" w:rsidRDefault="00925A60" w:rsidP="00542B30">
            <w:pPr>
              <w:spacing w:line="360" w:lineRule="auto"/>
              <w:jc w:val="both"/>
              <w:rPr>
                <w:rFonts w:asciiTheme="majorHAnsi" w:hAnsiTheme="majorHAnsi" w:cstheme="majorHAnsi"/>
                <w:sz w:val="20"/>
                <w:szCs w:val="20"/>
              </w:rPr>
            </w:pPr>
          </w:p>
        </w:tc>
        <w:tc>
          <w:tcPr>
            <w:tcW w:w="1421" w:type="pct"/>
            <w:vAlign w:val="center"/>
          </w:tcPr>
          <w:p w:rsidR="00925A60" w:rsidRPr="002E1730" w:rsidRDefault="00925A60" w:rsidP="00542B30">
            <w:pPr>
              <w:spacing w:line="360" w:lineRule="auto"/>
              <w:jc w:val="both"/>
              <w:rPr>
                <w:rFonts w:asciiTheme="majorHAnsi" w:hAnsiTheme="majorHAnsi" w:cstheme="majorHAnsi"/>
                <w:sz w:val="20"/>
                <w:szCs w:val="20"/>
              </w:rPr>
            </w:pPr>
            <w:r>
              <w:rPr>
                <w:rFonts w:asciiTheme="majorHAnsi" w:hAnsiTheme="majorHAnsi" w:cstheme="majorHAnsi"/>
                <w:sz w:val="20"/>
                <w:szCs w:val="20"/>
              </w:rPr>
              <w:t xml:space="preserve">6: </w:t>
            </w:r>
            <w:r w:rsidRPr="006A3D5C">
              <w:rPr>
                <w:rFonts w:asciiTheme="majorHAnsi" w:hAnsiTheme="majorHAnsi" w:cstheme="majorHAnsi"/>
                <w:sz w:val="20"/>
                <w:szCs w:val="20"/>
                <w:lang w:val="en-GB"/>
              </w:rPr>
              <w:t>Number</w:t>
            </w:r>
            <w:r w:rsidRPr="00554E6E">
              <w:rPr>
                <w:rFonts w:asciiTheme="majorHAnsi" w:hAnsiTheme="majorHAnsi" w:cstheme="majorHAnsi"/>
                <w:sz w:val="20"/>
                <w:szCs w:val="20"/>
              </w:rPr>
              <w:t xml:space="preserve"> of practices </w:t>
            </w:r>
            <w:r>
              <w:rPr>
                <w:rFonts w:asciiTheme="majorHAnsi" w:hAnsiTheme="majorHAnsi" w:cstheme="majorHAnsi"/>
                <w:sz w:val="20"/>
                <w:szCs w:val="20"/>
              </w:rPr>
              <w:t xml:space="preserve">or instruments adopted that </w:t>
            </w:r>
            <w:r w:rsidRPr="00554E6E">
              <w:rPr>
                <w:rFonts w:asciiTheme="majorHAnsi" w:hAnsiTheme="majorHAnsi" w:cstheme="majorHAnsi"/>
                <w:sz w:val="20"/>
                <w:szCs w:val="20"/>
              </w:rPr>
              <w:t>aim at removing barriers preventing women from market access, investment and business development (</w:t>
            </w:r>
            <w:r>
              <w:rPr>
                <w:rFonts w:asciiTheme="majorHAnsi" w:hAnsiTheme="majorHAnsi" w:cstheme="majorHAnsi"/>
                <w:sz w:val="20"/>
                <w:szCs w:val="20"/>
              </w:rPr>
              <w:t>GAP III</w:t>
            </w:r>
            <w:r w:rsidRPr="00554E6E">
              <w:rPr>
                <w:rFonts w:asciiTheme="majorHAnsi" w:hAnsiTheme="majorHAnsi" w:cstheme="majorHAnsi"/>
                <w:sz w:val="20"/>
                <w:szCs w:val="20"/>
              </w:rPr>
              <w:t>)</w:t>
            </w:r>
          </w:p>
        </w:tc>
        <w:tc>
          <w:tcPr>
            <w:tcW w:w="284" w:type="pct"/>
            <w:vAlign w:val="center"/>
          </w:tcPr>
          <w:p w:rsidR="00925A60" w:rsidRPr="00221EB5" w:rsidRDefault="00925A60" w:rsidP="00542B30">
            <w:pPr>
              <w:jc w:val="center"/>
              <w:rPr>
                <w:rFonts w:asciiTheme="majorHAnsi" w:hAnsiTheme="majorHAnsi" w:cstheme="majorHAnsi"/>
                <w:sz w:val="20"/>
                <w:szCs w:val="20"/>
                <w:lang w:val="en-GB"/>
              </w:rPr>
            </w:pPr>
            <w:r>
              <w:rPr>
                <w:rFonts w:asciiTheme="majorHAnsi" w:hAnsiTheme="majorHAnsi" w:cstheme="majorHAnsi"/>
                <w:sz w:val="20"/>
                <w:szCs w:val="20"/>
                <w:lang w:val="en-GB"/>
              </w:rPr>
              <w:t>0</w:t>
            </w:r>
          </w:p>
        </w:tc>
        <w:tc>
          <w:tcPr>
            <w:tcW w:w="426" w:type="pct"/>
            <w:vAlign w:val="center"/>
          </w:tcPr>
          <w:p w:rsidR="00925A60" w:rsidRPr="002E1730" w:rsidRDefault="00925A60" w:rsidP="00542B30">
            <w:pPr>
              <w:jc w:val="center"/>
              <w:rPr>
                <w:rFonts w:asciiTheme="majorHAnsi" w:hAnsiTheme="majorHAnsi" w:cstheme="majorHAnsi"/>
                <w:sz w:val="20"/>
                <w:szCs w:val="20"/>
              </w:rPr>
            </w:pPr>
            <w:r>
              <w:rPr>
                <w:rFonts w:asciiTheme="majorHAnsi" w:hAnsiTheme="majorHAnsi" w:cstheme="majorHAnsi"/>
                <w:sz w:val="20"/>
                <w:szCs w:val="20"/>
              </w:rPr>
              <w:t>2</w:t>
            </w:r>
          </w:p>
        </w:tc>
        <w:tc>
          <w:tcPr>
            <w:tcW w:w="598" w:type="pct"/>
            <w:vAlign w:val="center"/>
          </w:tcPr>
          <w:p w:rsidR="00925A60" w:rsidRPr="002E1730" w:rsidRDefault="00925A60" w:rsidP="00542B30">
            <w:pPr>
              <w:spacing w:line="360" w:lineRule="auto"/>
              <w:jc w:val="both"/>
              <w:rPr>
                <w:rFonts w:asciiTheme="majorHAnsi" w:hAnsiTheme="majorHAnsi" w:cstheme="majorHAnsi"/>
                <w:sz w:val="20"/>
                <w:szCs w:val="20"/>
              </w:rPr>
            </w:pPr>
            <w:r w:rsidRPr="004005FA">
              <w:rPr>
                <w:rFonts w:asciiTheme="majorHAnsi" w:hAnsiTheme="majorHAnsi" w:cstheme="majorHAnsi"/>
                <w:sz w:val="20"/>
                <w:szCs w:val="20"/>
              </w:rPr>
              <w:t>Intervention</w:t>
            </w:r>
            <w:r>
              <w:rPr>
                <w:rFonts w:asciiTheme="majorHAnsi" w:hAnsiTheme="majorHAnsi" w:cstheme="majorHAnsi"/>
                <w:sz w:val="20"/>
                <w:szCs w:val="20"/>
              </w:rPr>
              <w:t>´</w:t>
            </w:r>
            <w:r w:rsidRPr="004005FA">
              <w:rPr>
                <w:rFonts w:asciiTheme="majorHAnsi" w:hAnsiTheme="majorHAnsi" w:cstheme="majorHAnsi"/>
                <w:sz w:val="20"/>
                <w:szCs w:val="20"/>
              </w:rPr>
              <w:t xml:space="preserve">s monitoring system </w:t>
            </w:r>
            <w:r>
              <w:rPr>
                <w:rFonts w:asciiTheme="majorHAnsi" w:hAnsiTheme="majorHAnsi" w:cstheme="majorHAnsi"/>
                <w:sz w:val="20"/>
                <w:szCs w:val="20"/>
              </w:rPr>
              <w:t>(Financial institution´s report)</w:t>
            </w:r>
            <w:r w:rsidDel="00A92ECC">
              <w:rPr>
                <w:rStyle w:val="cf01"/>
              </w:rPr>
              <w:t xml:space="preserve"> </w:t>
            </w:r>
          </w:p>
        </w:tc>
        <w:tc>
          <w:tcPr>
            <w:tcW w:w="1022" w:type="pct"/>
            <w:vMerge/>
          </w:tcPr>
          <w:p w:rsidR="00925A60" w:rsidRPr="002E1730" w:rsidRDefault="00925A60" w:rsidP="00542B30"/>
        </w:tc>
      </w:tr>
      <w:tr w:rsidR="00925A60" w:rsidRPr="002E1730" w:rsidTr="00925A60">
        <w:trPr>
          <w:trHeight w:val="870"/>
        </w:trPr>
        <w:tc>
          <w:tcPr>
            <w:tcW w:w="198" w:type="pct"/>
            <w:vMerge/>
            <w:shd w:val="clear" w:color="auto" w:fill="7030A0"/>
            <w:hideMark/>
          </w:tcPr>
          <w:p w:rsidR="00925A60" w:rsidRPr="00266C6D" w:rsidRDefault="00925A60" w:rsidP="00542B30">
            <w:pPr>
              <w:rPr>
                <w:b/>
                <w:bCs/>
                <w:color w:val="FFFFFF" w:themeColor="background1"/>
              </w:rPr>
            </w:pPr>
          </w:p>
        </w:tc>
        <w:tc>
          <w:tcPr>
            <w:tcW w:w="1051" w:type="pct"/>
            <w:vMerge/>
            <w:vAlign w:val="center"/>
          </w:tcPr>
          <w:p w:rsidR="00925A60" w:rsidRPr="002E1730" w:rsidRDefault="00925A60" w:rsidP="00542B30">
            <w:pPr>
              <w:spacing w:line="360" w:lineRule="auto"/>
              <w:jc w:val="both"/>
            </w:pPr>
          </w:p>
        </w:tc>
        <w:tc>
          <w:tcPr>
            <w:tcW w:w="1421" w:type="pct"/>
            <w:vAlign w:val="center"/>
          </w:tcPr>
          <w:p w:rsidR="00925A60" w:rsidRPr="002E1730" w:rsidRDefault="00925A60" w:rsidP="00542B30">
            <w:pPr>
              <w:spacing w:line="360" w:lineRule="auto"/>
              <w:jc w:val="both"/>
              <w:rPr>
                <w:rFonts w:asciiTheme="majorHAnsi" w:hAnsiTheme="majorHAnsi" w:cstheme="majorHAnsi"/>
                <w:sz w:val="20"/>
                <w:szCs w:val="20"/>
              </w:rPr>
            </w:pPr>
            <w:r>
              <w:rPr>
                <w:rFonts w:asciiTheme="majorHAnsi" w:hAnsiTheme="majorHAnsi" w:cstheme="majorHAnsi"/>
                <w:sz w:val="20"/>
                <w:szCs w:val="20"/>
              </w:rPr>
              <w:t>7. V</w:t>
            </w:r>
            <w:r w:rsidRPr="00714F48">
              <w:rPr>
                <w:rFonts w:asciiTheme="majorHAnsi" w:hAnsiTheme="majorHAnsi" w:cstheme="majorHAnsi"/>
                <w:sz w:val="20"/>
                <w:szCs w:val="20"/>
              </w:rPr>
              <w:t>olume of credit mobilized through Interest-free Micro-Loans and/or micro grants</w:t>
            </w:r>
            <w:r>
              <w:rPr>
                <w:rFonts w:asciiTheme="majorHAnsi" w:hAnsiTheme="majorHAnsi" w:cstheme="majorHAnsi"/>
                <w:sz w:val="20"/>
                <w:szCs w:val="20"/>
              </w:rPr>
              <w:t xml:space="preserve"> (Adapted OPSYS CORE Indicator). Disaggregated by governorate </w:t>
            </w:r>
          </w:p>
        </w:tc>
        <w:tc>
          <w:tcPr>
            <w:tcW w:w="284" w:type="pct"/>
            <w:vAlign w:val="center"/>
          </w:tcPr>
          <w:p w:rsidR="00925A60" w:rsidRPr="002E1730" w:rsidRDefault="00925A60" w:rsidP="00542B30">
            <w:pPr>
              <w:spacing w:after="160"/>
              <w:jc w:val="center"/>
              <w:rPr>
                <w:rFonts w:asciiTheme="majorHAnsi" w:hAnsiTheme="majorHAnsi" w:cstheme="majorHAnsi"/>
                <w:sz w:val="20"/>
                <w:szCs w:val="20"/>
              </w:rPr>
            </w:pPr>
            <w:r>
              <w:rPr>
                <w:rFonts w:asciiTheme="majorHAnsi" w:hAnsiTheme="majorHAnsi" w:cstheme="majorHAnsi"/>
                <w:sz w:val="20"/>
                <w:szCs w:val="20"/>
              </w:rPr>
              <w:t>0</w:t>
            </w:r>
          </w:p>
        </w:tc>
        <w:tc>
          <w:tcPr>
            <w:tcW w:w="426" w:type="pct"/>
            <w:vAlign w:val="center"/>
          </w:tcPr>
          <w:p w:rsidR="00925A60" w:rsidRPr="002E1730" w:rsidRDefault="00925A60" w:rsidP="00542B30">
            <w:pPr>
              <w:jc w:val="center"/>
              <w:rPr>
                <w:rFonts w:asciiTheme="majorHAnsi" w:hAnsiTheme="majorHAnsi" w:cstheme="majorHAnsi"/>
                <w:sz w:val="20"/>
                <w:szCs w:val="20"/>
              </w:rPr>
            </w:pPr>
            <w:r>
              <w:rPr>
                <w:rStyle w:val="cf01"/>
              </w:rPr>
              <w:t>€</w:t>
            </w:r>
            <w:r>
              <w:rPr>
                <w:rFonts w:asciiTheme="majorHAnsi" w:hAnsiTheme="majorHAnsi" w:cstheme="majorHAnsi"/>
                <w:sz w:val="20"/>
                <w:szCs w:val="20"/>
              </w:rPr>
              <w:t xml:space="preserve"> 1,600,000</w:t>
            </w:r>
          </w:p>
        </w:tc>
        <w:tc>
          <w:tcPr>
            <w:tcW w:w="598" w:type="pct"/>
            <w:vAlign w:val="center"/>
          </w:tcPr>
          <w:p w:rsidR="00925A60" w:rsidRPr="002E1730" w:rsidRDefault="00925A60" w:rsidP="00542B30">
            <w:pPr>
              <w:spacing w:line="360" w:lineRule="auto"/>
              <w:jc w:val="both"/>
            </w:pPr>
            <w:r w:rsidRPr="001A5E8D">
              <w:rPr>
                <w:rFonts w:asciiTheme="majorHAnsi" w:hAnsiTheme="majorHAnsi" w:cstheme="majorHAnsi"/>
                <w:sz w:val="20"/>
                <w:szCs w:val="20"/>
              </w:rPr>
              <w:t>Intervention</w:t>
            </w:r>
            <w:r>
              <w:rPr>
                <w:rFonts w:asciiTheme="majorHAnsi" w:hAnsiTheme="majorHAnsi" w:cstheme="majorHAnsi"/>
                <w:sz w:val="20"/>
                <w:szCs w:val="20"/>
              </w:rPr>
              <w:t>´</w:t>
            </w:r>
            <w:r w:rsidRPr="001A5E8D">
              <w:rPr>
                <w:rFonts w:asciiTheme="majorHAnsi" w:hAnsiTheme="majorHAnsi" w:cstheme="majorHAnsi"/>
                <w:sz w:val="20"/>
                <w:szCs w:val="20"/>
              </w:rPr>
              <w:t>s monitoring system</w:t>
            </w:r>
            <w:r>
              <w:rPr>
                <w:rFonts w:asciiTheme="majorHAnsi" w:hAnsiTheme="majorHAnsi" w:cstheme="majorHAnsi"/>
                <w:sz w:val="20"/>
                <w:szCs w:val="20"/>
              </w:rPr>
              <w:t xml:space="preserve"> (Financial institution´s report)</w:t>
            </w:r>
          </w:p>
        </w:tc>
        <w:tc>
          <w:tcPr>
            <w:tcW w:w="1022" w:type="pct"/>
            <w:vMerge/>
            <w:hideMark/>
          </w:tcPr>
          <w:p w:rsidR="00925A60" w:rsidRPr="002E1730" w:rsidRDefault="00925A60" w:rsidP="00542B30"/>
        </w:tc>
      </w:tr>
      <w:tr w:rsidR="00925A60" w:rsidRPr="00EC0C2D" w:rsidTr="00925A60">
        <w:trPr>
          <w:trHeight w:val="890"/>
        </w:trPr>
        <w:tc>
          <w:tcPr>
            <w:tcW w:w="198" w:type="pct"/>
            <w:vMerge w:val="restart"/>
            <w:shd w:val="clear" w:color="auto" w:fill="7030A0"/>
            <w:textDirection w:val="btLr"/>
            <w:hideMark/>
          </w:tcPr>
          <w:p w:rsidR="00925A60" w:rsidRPr="005701E7" w:rsidRDefault="00925A60" w:rsidP="00542B30">
            <w:pPr>
              <w:jc w:val="center"/>
              <w:rPr>
                <w:b/>
                <w:bCs/>
                <w:color w:val="FFFFFF" w:themeColor="background1"/>
              </w:rPr>
            </w:pPr>
            <w:r w:rsidRPr="005701E7">
              <w:rPr>
                <w:b/>
                <w:bCs/>
                <w:color w:val="FFFFFF" w:themeColor="background1"/>
              </w:rPr>
              <w:t>Outputs</w:t>
            </w:r>
          </w:p>
        </w:tc>
        <w:tc>
          <w:tcPr>
            <w:tcW w:w="1051" w:type="pct"/>
            <w:vMerge w:val="restart"/>
            <w:vAlign w:val="center"/>
            <w:hideMark/>
          </w:tcPr>
          <w:p w:rsidR="00925A60" w:rsidRPr="00925A60" w:rsidRDefault="00925A60" w:rsidP="00542B30">
            <w:pPr>
              <w:spacing w:line="360" w:lineRule="auto"/>
              <w:jc w:val="both"/>
              <w:rPr>
                <w:rFonts w:asciiTheme="majorHAnsi" w:hAnsiTheme="majorHAnsi" w:cstheme="majorHAnsi"/>
                <w:sz w:val="20"/>
                <w:szCs w:val="20"/>
                <w:highlight w:val="yellow"/>
              </w:rPr>
            </w:pPr>
          </w:p>
          <w:p w:rsidR="00925A60" w:rsidRPr="00925A60" w:rsidRDefault="00925A60" w:rsidP="00542B30">
            <w:pPr>
              <w:spacing w:line="360" w:lineRule="auto"/>
              <w:jc w:val="both"/>
              <w:rPr>
                <w:rFonts w:asciiTheme="majorHAnsi" w:hAnsiTheme="majorHAnsi" w:cstheme="majorHAnsi"/>
                <w:sz w:val="20"/>
                <w:szCs w:val="20"/>
                <w:highlight w:val="yellow"/>
                <w:lang w:val="en-GB"/>
              </w:rPr>
            </w:pPr>
          </w:p>
          <w:p w:rsidR="00925A60" w:rsidRPr="00925A60" w:rsidRDefault="00925A60" w:rsidP="00542B30">
            <w:pPr>
              <w:spacing w:line="360" w:lineRule="auto"/>
              <w:jc w:val="both"/>
              <w:rPr>
                <w:sz w:val="20"/>
                <w:szCs w:val="20"/>
                <w:highlight w:val="yellow"/>
                <w:lang w:val="en-GB"/>
              </w:rPr>
            </w:pPr>
            <w:r w:rsidRPr="00925A60">
              <w:rPr>
                <w:sz w:val="20"/>
                <w:szCs w:val="20"/>
                <w:highlight w:val="yellow"/>
                <w:lang w:val="en-GB"/>
              </w:rPr>
              <w:t xml:space="preserve">Output 1. Strengthened technical and financial capacities of vulnerable young people in their diversity for entrepreneurship, </w:t>
            </w:r>
            <w:r w:rsidRPr="00925A60">
              <w:rPr>
                <w:sz w:val="20"/>
                <w:szCs w:val="20"/>
                <w:highlight w:val="yellow"/>
                <w:lang w:val="en-GB"/>
              </w:rPr>
              <w:lastRenderedPageBreak/>
              <w:t>business development and labour inclusion.</w:t>
            </w:r>
          </w:p>
        </w:tc>
        <w:tc>
          <w:tcPr>
            <w:tcW w:w="1421" w:type="pct"/>
            <w:vAlign w:val="center"/>
          </w:tcPr>
          <w:p w:rsidR="00925A60" w:rsidRPr="00925A60" w:rsidRDefault="00925A60" w:rsidP="00542B30">
            <w:pPr>
              <w:spacing w:line="360" w:lineRule="auto"/>
              <w:jc w:val="both"/>
              <w:rPr>
                <w:rFonts w:ascii="Arial" w:hAnsi="Arial" w:cs="Arial"/>
                <w:sz w:val="20"/>
                <w:szCs w:val="20"/>
                <w:highlight w:val="yellow"/>
                <w:lang w:val="en-GB"/>
              </w:rPr>
            </w:pPr>
            <w:r w:rsidRPr="00925A60">
              <w:rPr>
                <w:rStyle w:val="cf01"/>
                <w:highlight w:val="yellow"/>
                <w:lang w:val="en-GB"/>
              </w:rPr>
              <w:lastRenderedPageBreak/>
              <w:t xml:space="preserve">1.1. </w:t>
            </w:r>
            <w:r w:rsidRPr="00925A60">
              <w:rPr>
                <w:rFonts w:asciiTheme="majorHAnsi" w:hAnsiTheme="majorHAnsi" w:cstheme="majorHAnsi"/>
                <w:sz w:val="20"/>
                <w:szCs w:val="20"/>
                <w:highlight w:val="yellow"/>
              </w:rPr>
              <w:t>Number</w:t>
            </w:r>
            <w:r w:rsidRPr="00925A60">
              <w:rPr>
                <w:rStyle w:val="cf01"/>
                <w:highlight w:val="yellow"/>
                <w:lang w:val="en-GB"/>
              </w:rPr>
              <w:t xml:space="preserve"> of people who have benefited from institution or workplace-based VET/skills development interventions supported by the EU: (a) all VET/skills development, (b) only VET/skills development for digitalisation, (Disaggregated by </w:t>
            </w:r>
            <w:r w:rsidRPr="00925A60">
              <w:rPr>
                <w:rStyle w:val="cf01"/>
                <w:highlight w:val="yellow"/>
                <w:lang w:val="en-GB"/>
              </w:rPr>
              <w:lastRenderedPageBreak/>
              <w:t xml:space="preserve">sex, sector and governorate) GERF 2.14. </w:t>
            </w:r>
          </w:p>
        </w:tc>
        <w:tc>
          <w:tcPr>
            <w:tcW w:w="284" w:type="pct"/>
            <w:vAlign w:val="center"/>
          </w:tcPr>
          <w:p w:rsidR="00925A60" w:rsidRPr="00925A60" w:rsidRDefault="00925A60" w:rsidP="00542B30">
            <w:pPr>
              <w:spacing w:line="360" w:lineRule="auto"/>
              <w:jc w:val="center"/>
              <w:rPr>
                <w:rFonts w:asciiTheme="majorHAnsi" w:hAnsiTheme="majorHAnsi" w:cstheme="majorHAnsi"/>
                <w:sz w:val="20"/>
                <w:szCs w:val="20"/>
                <w:highlight w:val="yellow"/>
                <w:lang w:val="en-GB"/>
              </w:rPr>
            </w:pPr>
          </w:p>
          <w:p w:rsidR="00925A60" w:rsidRPr="00925A60" w:rsidRDefault="00925A60" w:rsidP="00542B30">
            <w:pPr>
              <w:spacing w:line="360" w:lineRule="auto"/>
              <w:jc w:val="center"/>
              <w:rPr>
                <w:rFonts w:asciiTheme="majorHAnsi" w:hAnsiTheme="majorHAnsi" w:cstheme="majorHAnsi"/>
                <w:sz w:val="20"/>
                <w:szCs w:val="20"/>
                <w:highlight w:val="yellow"/>
              </w:rPr>
            </w:pPr>
            <w:r w:rsidRPr="00925A60">
              <w:rPr>
                <w:rFonts w:asciiTheme="majorHAnsi" w:hAnsiTheme="majorHAnsi" w:cstheme="majorHAnsi"/>
                <w:sz w:val="20"/>
                <w:szCs w:val="20"/>
                <w:highlight w:val="yellow"/>
                <w:lang w:val="en-GB"/>
              </w:rPr>
              <w:t>0</w:t>
            </w:r>
          </w:p>
        </w:tc>
        <w:tc>
          <w:tcPr>
            <w:tcW w:w="426" w:type="pct"/>
            <w:vAlign w:val="center"/>
          </w:tcPr>
          <w:p w:rsidR="00925A60" w:rsidRPr="00925A60" w:rsidRDefault="00925A60" w:rsidP="00542B30">
            <w:pPr>
              <w:spacing w:line="360" w:lineRule="auto"/>
              <w:jc w:val="center"/>
              <w:rPr>
                <w:rFonts w:asciiTheme="majorHAnsi" w:hAnsiTheme="majorHAnsi" w:cstheme="majorHAnsi"/>
                <w:sz w:val="20"/>
                <w:szCs w:val="20"/>
                <w:highlight w:val="yellow"/>
                <w:lang w:val="en-GB"/>
              </w:rPr>
            </w:pPr>
          </w:p>
          <w:p w:rsidR="00925A60" w:rsidRPr="00925A60" w:rsidRDefault="00925A60" w:rsidP="00542B30">
            <w:pPr>
              <w:spacing w:line="360" w:lineRule="auto"/>
              <w:jc w:val="center"/>
              <w:rPr>
                <w:rFonts w:asciiTheme="majorHAnsi" w:hAnsiTheme="majorHAnsi" w:cstheme="majorHAnsi"/>
                <w:sz w:val="20"/>
                <w:szCs w:val="20"/>
                <w:highlight w:val="yellow"/>
              </w:rPr>
            </w:pPr>
            <w:r w:rsidRPr="00925A60">
              <w:rPr>
                <w:rFonts w:asciiTheme="majorHAnsi" w:hAnsiTheme="majorHAnsi" w:cstheme="majorHAnsi"/>
                <w:sz w:val="20"/>
                <w:szCs w:val="20"/>
                <w:highlight w:val="yellow"/>
                <w:lang w:val="en-GB"/>
              </w:rPr>
              <w:t xml:space="preserve">6,400 </w:t>
            </w:r>
          </w:p>
        </w:tc>
        <w:tc>
          <w:tcPr>
            <w:tcW w:w="598" w:type="pct"/>
            <w:vAlign w:val="center"/>
          </w:tcPr>
          <w:p w:rsidR="00925A60" w:rsidRPr="00925A60" w:rsidRDefault="00925A60" w:rsidP="00542B30">
            <w:pPr>
              <w:spacing w:line="360" w:lineRule="auto"/>
              <w:rPr>
                <w:rFonts w:asciiTheme="majorHAnsi" w:hAnsiTheme="majorHAnsi" w:cstheme="majorHAnsi"/>
                <w:sz w:val="20"/>
                <w:szCs w:val="20"/>
                <w:highlight w:val="yellow"/>
              </w:rPr>
            </w:pPr>
          </w:p>
          <w:p w:rsidR="00925A60" w:rsidRPr="00925A60" w:rsidRDefault="00925A60" w:rsidP="00542B30">
            <w:pPr>
              <w:spacing w:line="360" w:lineRule="auto"/>
              <w:rPr>
                <w:rFonts w:asciiTheme="majorHAnsi" w:hAnsiTheme="majorHAnsi" w:cstheme="majorHAnsi"/>
                <w:sz w:val="20"/>
                <w:szCs w:val="20"/>
                <w:highlight w:val="yellow"/>
              </w:rPr>
            </w:pPr>
            <w:r w:rsidRPr="00925A60">
              <w:rPr>
                <w:rFonts w:asciiTheme="majorHAnsi" w:hAnsiTheme="majorHAnsi" w:cstheme="majorHAnsi"/>
                <w:sz w:val="20"/>
                <w:szCs w:val="20"/>
                <w:highlight w:val="yellow"/>
              </w:rPr>
              <w:t>Intervention´s monitoring system (Pre and post survey/assessment to participants)</w:t>
            </w:r>
          </w:p>
        </w:tc>
        <w:tc>
          <w:tcPr>
            <w:tcW w:w="1022" w:type="pct"/>
            <w:vMerge w:val="restart"/>
            <w:vAlign w:val="center"/>
            <w:hideMark/>
          </w:tcPr>
          <w:p w:rsidR="00925A60" w:rsidRPr="00925A60" w:rsidRDefault="00925A60" w:rsidP="00542B30">
            <w:pPr>
              <w:spacing w:line="276" w:lineRule="auto"/>
              <w:jc w:val="both"/>
              <w:rPr>
                <w:rFonts w:eastAsia="Times New Roman" w:cstheme="minorHAnsi"/>
                <w:color w:val="000000"/>
                <w:sz w:val="20"/>
                <w:szCs w:val="20"/>
              </w:rPr>
            </w:pPr>
            <w:r w:rsidRPr="00925A60">
              <w:rPr>
                <w:rFonts w:eastAsia="Times New Roman" w:cstheme="minorHAnsi"/>
                <w:color w:val="000000"/>
                <w:sz w:val="20"/>
                <w:szCs w:val="20"/>
              </w:rPr>
              <w:t>National and international stakeholders support strategies to expand inclusion of political, social and economic rights</w:t>
            </w:r>
          </w:p>
          <w:p w:rsidR="00925A60" w:rsidRPr="00925A60" w:rsidRDefault="00925A60" w:rsidP="00542B30">
            <w:pPr>
              <w:spacing w:line="360" w:lineRule="auto"/>
              <w:jc w:val="both"/>
              <w:rPr>
                <w:rFonts w:asciiTheme="majorHAnsi" w:hAnsiTheme="majorHAnsi" w:cstheme="majorHAnsi"/>
                <w:sz w:val="20"/>
                <w:szCs w:val="20"/>
              </w:rPr>
            </w:pPr>
          </w:p>
          <w:p w:rsidR="00925A60" w:rsidRPr="00925A60" w:rsidRDefault="00925A60" w:rsidP="00542B30">
            <w:pPr>
              <w:spacing w:line="276" w:lineRule="auto"/>
              <w:jc w:val="both"/>
              <w:rPr>
                <w:rFonts w:eastAsia="Times New Roman" w:cstheme="minorHAnsi"/>
                <w:color w:val="000000"/>
                <w:sz w:val="20"/>
                <w:szCs w:val="20"/>
              </w:rPr>
            </w:pPr>
            <w:r w:rsidRPr="00925A60">
              <w:rPr>
                <w:rFonts w:eastAsia="Times New Roman" w:cstheme="minorHAnsi"/>
                <w:color w:val="000000"/>
                <w:sz w:val="20"/>
                <w:szCs w:val="20"/>
              </w:rPr>
              <w:t xml:space="preserve">Financial institutions remain stable and have </w:t>
            </w:r>
            <w:r w:rsidRPr="00925A60">
              <w:rPr>
                <w:rFonts w:eastAsia="Times New Roman" w:cstheme="minorHAnsi"/>
                <w:color w:val="000000"/>
                <w:sz w:val="20"/>
                <w:szCs w:val="20"/>
              </w:rPr>
              <w:lastRenderedPageBreak/>
              <w:t>conditions to continue their commercial activity</w:t>
            </w:r>
          </w:p>
          <w:p w:rsidR="00925A60" w:rsidRPr="00925A60" w:rsidRDefault="00925A60" w:rsidP="00542B30">
            <w:pPr>
              <w:spacing w:line="276" w:lineRule="auto"/>
              <w:jc w:val="both"/>
              <w:rPr>
                <w:rFonts w:eastAsia="Times New Roman" w:cstheme="minorHAnsi"/>
                <w:color w:val="000000"/>
                <w:sz w:val="20"/>
                <w:szCs w:val="20"/>
              </w:rPr>
            </w:pPr>
          </w:p>
          <w:p w:rsidR="00925A60" w:rsidRPr="00925A60" w:rsidRDefault="00925A60" w:rsidP="00542B30">
            <w:pPr>
              <w:spacing w:line="276" w:lineRule="auto"/>
              <w:rPr>
                <w:rFonts w:cstheme="minorHAnsi"/>
                <w:sz w:val="20"/>
                <w:szCs w:val="20"/>
              </w:rPr>
            </w:pPr>
            <w:r w:rsidRPr="00925A60">
              <w:rPr>
                <w:rFonts w:cstheme="minorHAnsi"/>
                <w:sz w:val="20"/>
                <w:szCs w:val="20"/>
              </w:rPr>
              <w:t xml:space="preserve">The lead applicant and its co-applicant are able to continue to transfer funds to Yemen for project activities. </w:t>
            </w:r>
            <w:r w:rsidRPr="00925A60">
              <w:rPr>
                <w:rFonts w:cstheme="minorHAnsi"/>
                <w:sz w:val="20"/>
                <w:szCs w:val="20"/>
              </w:rPr>
              <w:br w:type="page"/>
            </w:r>
            <w:r w:rsidRPr="00925A60">
              <w:rPr>
                <w:rFonts w:cstheme="minorHAnsi"/>
                <w:sz w:val="20"/>
                <w:szCs w:val="20"/>
              </w:rPr>
              <w:br w:type="page"/>
            </w:r>
            <w:r w:rsidRPr="00925A60">
              <w:rPr>
                <w:rFonts w:cstheme="minorHAnsi"/>
                <w:sz w:val="20"/>
                <w:szCs w:val="20"/>
              </w:rPr>
              <w:br w:type="page"/>
            </w:r>
            <w:r w:rsidRPr="00925A60">
              <w:rPr>
                <w:rFonts w:cstheme="minorHAnsi"/>
                <w:sz w:val="20"/>
                <w:szCs w:val="20"/>
              </w:rPr>
              <w:br w:type="page"/>
            </w:r>
          </w:p>
          <w:p w:rsidR="00925A60" w:rsidRPr="00925A60" w:rsidRDefault="00925A60" w:rsidP="00542B30">
            <w:pPr>
              <w:spacing w:line="276" w:lineRule="auto"/>
              <w:jc w:val="both"/>
              <w:rPr>
                <w:rFonts w:eastAsia="Times New Roman" w:cstheme="minorHAnsi"/>
                <w:color w:val="000000"/>
                <w:sz w:val="20"/>
                <w:szCs w:val="20"/>
              </w:rPr>
            </w:pPr>
          </w:p>
          <w:p w:rsidR="00925A60" w:rsidRPr="00925A60" w:rsidRDefault="00925A60" w:rsidP="00542B30">
            <w:pPr>
              <w:spacing w:line="276" w:lineRule="auto"/>
              <w:jc w:val="both"/>
              <w:rPr>
                <w:rFonts w:eastAsia="Times New Roman" w:cstheme="minorHAnsi"/>
                <w:color w:val="000000"/>
                <w:sz w:val="20"/>
                <w:szCs w:val="20"/>
              </w:rPr>
            </w:pPr>
            <w:r w:rsidRPr="00925A60">
              <w:rPr>
                <w:rFonts w:eastAsia="Times New Roman" w:cstheme="minorHAnsi"/>
                <w:color w:val="000000"/>
                <w:sz w:val="20"/>
                <w:szCs w:val="20"/>
              </w:rPr>
              <w:t xml:space="preserve">Local economies remain stable and allow for the generation of new entrepreneurial and employment opportunities in the </w:t>
            </w:r>
            <w:r w:rsidR="008E594E" w:rsidRPr="00925A60">
              <w:rPr>
                <w:rFonts w:eastAsia="Times New Roman" w:cstheme="minorHAnsi"/>
                <w:color w:val="000000"/>
                <w:sz w:val="20"/>
                <w:szCs w:val="20"/>
              </w:rPr>
              <w:t>prioritized</w:t>
            </w:r>
            <w:r w:rsidRPr="00925A60">
              <w:rPr>
                <w:rFonts w:eastAsia="Times New Roman" w:cstheme="minorHAnsi"/>
                <w:color w:val="000000"/>
                <w:sz w:val="20"/>
                <w:szCs w:val="20"/>
              </w:rPr>
              <w:t xml:space="preserve"> sectors</w:t>
            </w:r>
          </w:p>
          <w:p w:rsidR="00925A60" w:rsidRPr="00925A60" w:rsidRDefault="00925A60" w:rsidP="00542B30">
            <w:pPr>
              <w:spacing w:line="276" w:lineRule="auto"/>
              <w:jc w:val="both"/>
              <w:rPr>
                <w:rFonts w:asciiTheme="majorHAnsi" w:hAnsiTheme="majorHAnsi" w:cstheme="majorHAnsi"/>
                <w:sz w:val="20"/>
                <w:szCs w:val="20"/>
              </w:rPr>
            </w:pPr>
          </w:p>
          <w:p w:rsidR="00925A60" w:rsidRPr="00925A60" w:rsidRDefault="00925A60" w:rsidP="00542B30">
            <w:pPr>
              <w:spacing w:line="276" w:lineRule="auto"/>
              <w:jc w:val="both"/>
              <w:rPr>
                <w:rFonts w:eastAsia="Times New Roman" w:cstheme="minorHAnsi"/>
                <w:color w:val="000000"/>
                <w:sz w:val="20"/>
                <w:szCs w:val="20"/>
              </w:rPr>
            </w:pPr>
            <w:r w:rsidRPr="00925A60">
              <w:rPr>
                <w:rFonts w:eastAsia="Times New Roman" w:cstheme="minorHAnsi"/>
                <w:color w:val="000000"/>
                <w:sz w:val="20"/>
                <w:szCs w:val="20"/>
              </w:rPr>
              <w:t>The national and local security situation allows limited international personnel, partners and stakeholders to safely implement operations on the ground.</w:t>
            </w:r>
          </w:p>
          <w:p w:rsidR="00925A60" w:rsidRPr="00925A60" w:rsidRDefault="00925A60" w:rsidP="00542B30">
            <w:pPr>
              <w:spacing w:line="276" w:lineRule="auto"/>
              <w:jc w:val="both"/>
              <w:rPr>
                <w:rFonts w:eastAsia="Times New Roman" w:cstheme="minorHAnsi"/>
                <w:color w:val="000000"/>
                <w:sz w:val="20"/>
                <w:szCs w:val="20"/>
              </w:rPr>
            </w:pPr>
          </w:p>
          <w:p w:rsidR="00925A60" w:rsidRPr="00925A60" w:rsidRDefault="00925A60" w:rsidP="00542B30">
            <w:pPr>
              <w:spacing w:line="276" w:lineRule="auto"/>
              <w:jc w:val="both"/>
              <w:rPr>
                <w:rFonts w:eastAsia="Times New Roman" w:cstheme="minorHAnsi"/>
                <w:color w:val="000000"/>
                <w:sz w:val="20"/>
                <w:szCs w:val="20"/>
              </w:rPr>
            </w:pPr>
            <w:r w:rsidRPr="00925A60">
              <w:rPr>
                <w:rFonts w:eastAsia="Times New Roman" w:cstheme="minorHAnsi"/>
                <w:color w:val="000000"/>
                <w:sz w:val="20"/>
                <w:szCs w:val="20"/>
              </w:rPr>
              <w:t>The perception of the Implementing Partners as a neutral and impartial actor remains</w:t>
            </w:r>
          </w:p>
          <w:p w:rsidR="00925A60" w:rsidRPr="00925A60" w:rsidRDefault="00925A60" w:rsidP="00542B30">
            <w:pPr>
              <w:spacing w:line="276" w:lineRule="auto"/>
              <w:jc w:val="both"/>
              <w:rPr>
                <w:rFonts w:eastAsia="Times New Roman" w:cstheme="minorHAnsi"/>
                <w:color w:val="000000"/>
                <w:sz w:val="20"/>
                <w:szCs w:val="20"/>
              </w:rPr>
            </w:pPr>
          </w:p>
          <w:p w:rsidR="00925A60" w:rsidRPr="00925A60" w:rsidRDefault="00925A60" w:rsidP="00542B30">
            <w:pPr>
              <w:spacing w:line="276" w:lineRule="auto"/>
              <w:jc w:val="both"/>
              <w:rPr>
                <w:sz w:val="20"/>
                <w:szCs w:val="20"/>
              </w:rPr>
            </w:pPr>
            <w:r w:rsidRPr="00925A60">
              <w:rPr>
                <w:rFonts w:cstheme="minorHAnsi"/>
                <w:sz w:val="20"/>
                <w:szCs w:val="20"/>
              </w:rPr>
              <w:t>Local and national authorities support project activities and interventions, which are perceived as beneficial to the country and its people.</w:t>
            </w:r>
          </w:p>
        </w:tc>
      </w:tr>
      <w:tr w:rsidR="00925A60" w:rsidRPr="00504986" w:rsidDel="00A03F66" w:rsidTr="00925A60">
        <w:trPr>
          <w:trHeight w:val="1465"/>
        </w:trPr>
        <w:tc>
          <w:tcPr>
            <w:tcW w:w="198" w:type="pct"/>
            <w:vMerge/>
            <w:shd w:val="clear" w:color="auto" w:fill="7030A0"/>
            <w:textDirection w:val="btLr"/>
          </w:tcPr>
          <w:p w:rsidR="00925A60" w:rsidRPr="00266C6D" w:rsidRDefault="00925A60" w:rsidP="00542B30">
            <w:pPr>
              <w:jc w:val="center"/>
              <w:rPr>
                <w:b/>
                <w:bCs/>
                <w:color w:val="FFFFFF" w:themeColor="background1"/>
              </w:rPr>
            </w:pPr>
          </w:p>
        </w:tc>
        <w:tc>
          <w:tcPr>
            <w:tcW w:w="1051" w:type="pct"/>
            <w:vMerge/>
            <w:vAlign w:val="center"/>
          </w:tcPr>
          <w:p w:rsidR="00925A60" w:rsidRDefault="00925A60" w:rsidP="00542B30">
            <w:pPr>
              <w:spacing w:line="360" w:lineRule="auto"/>
              <w:jc w:val="both"/>
              <w:rPr>
                <w:rFonts w:asciiTheme="majorHAnsi" w:hAnsiTheme="majorHAnsi" w:cstheme="majorHAnsi"/>
                <w:sz w:val="20"/>
                <w:szCs w:val="20"/>
              </w:rPr>
            </w:pPr>
          </w:p>
        </w:tc>
        <w:tc>
          <w:tcPr>
            <w:tcW w:w="1421" w:type="pct"/>
            <w:vAlign w:val="center"/>
          </w:tcPr>
          <w:p w:rsidR="00925A60" w:rsidRPr="00B81A3A" w:rsidRDefault="00925A60" w:rsidP="00542B30">
            <w:pPr>
              <w:spacing w:line="360" w:lineRule="auto"/>
              <w:jc w:val="both"/>
              <w:rPr>
                <w:rFonts w:asciiTheme="majorHAnsi" w:hAnsiTheme="majorHAnsi" w:cstheme="majorHAnsi"/>
                <w:sz w:val="20"/>
                <w:szCs w:val="20"/>
              </w:rPr>
            </w:pPr>
            <w:r>
              <w:rPr>
                <w:rFonts w:asciiTheme="majorHAnsi" w:hAnsiTheme="majorHAnsi" w:cstheme="majorHAnsi"/>
                <w:sz w:val="20"/>
                <w:szCs w:val="20"/>
                <w:lang w:val="en-GB"/>
              </w:rPr>
              <w:t>1.2. Number of young entrepreneurs and/or start-ups that have developed a business plan with the support of the intervention (Disaggregated by sex, sector and governorate)</w:t>
            </w:r>
          </w:p>
        </w:tc>
        <w:tc>
          <w:tcPr>
            <w:tcW w:w="284" w:type="pct"/>
            <w:vAlign w:val="center"/>
          </w:tcPr>
          <w:p w:rsidR="00925A60" w:rsidRPr="002E1730" w:rsidRDefault="00925A60" w:rsidP="00542B30">
            <w:pPr>
              <w:jc w:val="center"/>
              <w:rPr>
                <w:rFonts w:asciiTheme="majorHAnsi" w:hAnsiTheme="majorHAnsi" w:cstheme="majorHAnsi"/>
                <w:sz w:val="20"/>
                <w:szCs w:val="20"/>
              </w:rPr>
            </w:pPr>
            <w:r>
              <w:rPr>
                <w:rFonts w:asciiTheme="majorHAnsi" w:hAnsiTheme="majorHAnsi" w:cstheme="majorHAnsi"/>
                <w:sz w:val="20"/>
                <w:szCs w:val="20"/>
              </w:rPr>
              <w:t>0</w:t>
            </w:r>
          </w:p>
        </w:tc>
        <w:tc>
          <w:tcPr>
            <w:tcW w:w="426" w:type="pct"/>
            <w:vAlign w:val="center"/>
          </w:tcPr>
          <w:p w:rsidR="00925A60" w:rsidRPr="002E1730" w:rsidRDefault="00925A60" w:rsidP="00542B30">
            <w:pPr>
              <w:spacing w:line="360" w:lineRule="auto"/>
              <w:jc w:val="center"/>
              <w:rPr>
                <w:rFonts w:asciiTheme="majorHAnsi" w:hAnsiTheme="majorHAnsi" w:cstheme="majorHAnsi"/>
                <w:sz w:val="20"/>
                <w:szCs w:val="20"/>
              </w:rPr>
            </w:pPr>
            <w:r>
              <w:rPr>
                <w:rFonts w:asciiTheme="majorHAnsi" w:hAnsiTheme="majorHAnsi" w:cstheme="majorHAnsi"/>
                <w:sz w:val="20"/>
                <w:szCs w:val="20"/>
              </w:rPr>
              <w:t xml:space="preserve"> 17,486</w:t>
            </w:r>
          </w:p>
        </w:tc>
        <w:tc>
          <w:tcPr>
            <w:tcW w:w="598" w:type="pct"/>
            <w:vAlign w:val="center"/>
          </w:tcPr>
          <w:p w:rsidR="00925A60" w:rsidRPr="002E1730" w:rsidRDefault="00925A60" w:rsidP="00542B30">
            <w:pPr>
              <w:spacing w:line="360" w:lineRule="auto"/>
              <w:rPr>
                <w:rFonts w:asciiTheme="majorHAnsi" w:hAnsiTheme="majorHAnsi" w:cstheme="majorHAnsi"/>
                <w:sz w:val="20"/>
                <w:szCs w:val="20"/>
              </w:rPr>
            </w:pPr>
            <w:r w:rsidRPr="004005FA">
              <w:rPr>
                <w:rFonts w:asciiTheme="majorHAnsi" w:hAnsiTheme="majorHAnsi" w:cstheme="majorHAnsi"/>
                <w:sz w:val="20"/>
                <w:szCs w:val="20"/>
              </w:rPr>
              <w:t>Intervention</w:t>
            </w:r>
            <w:r>
              <w:rPr>
                <w:rFonts w:asciiTheme="majorHAnsi" w:hAnsiTheme="majorHAnsi" w:cstheme="majorHAnsi"/>
                <w:sz w:val="20"/>
                <w:szCs w:val="20"/>
              </w:rPr>
              <w:t>´</w:t>
            </w:r>
            <w:r w:rsidRPr="004005FA">
              <w:rPr>
                <w:rFonts w:asciiTheme="majorHAnsi" w:hAnsiTheme="majorHAnsi" w:cstheme="majorHAnsi"/>
                <w:sz w:val="20"/>
                <w:szCs w:val="20"/>
              </w:rPr>
              <w:t xml:space="preserve">s monitoring system </w:t>
            </w:r>
            <w:r>
              <w:rPr>
                <w:rFonts w:asciiTheme="majorHAnsi" w:hAnsiTheme="majorHAnsi" w:cstheme="majorHAnsi"/>
                <w:sz w:val="20"/>
                <w:szCs w:val="20"/>
              </w:rPr>
              <w:t>(Approved business plans)</w:t>
            </w:r>
          </w:p>
        </w:tc>
        <w:tc>
          <w:tcPr>
            <w:tcW w:w="1022" w:type="pct"/>
            <w:vMerge/>
            <w:vAlign w:val="center"/>
          </w:tcPr>
          <w:p w:rsidR="00925A60" w:rsidRPr="00504986" w:rsidDel="00A03F66" w:rsidRDefault="00925A60" w:rsidP="00542B30">
            <w:pPr>
              <w:spacing w:line="276" w:lineRule="auto"/>
              <w:jc w:val="both"/>
              <w:rPr>
                <w:rFonts w:asciiTheme="majorHAnsi" w:hAnsiTheme="majorHAnsi" w:cstheme="majorHAnsi"/>
                <w:sz w:val="20"/>
                <w:szCs w:val="20"/>
              </w:rPr>
            </w:pPr>
          </w:p>
        </w:tc>
      </w:tr>
      <w:tr w:rsidR="00925A60" w:rsidRPr="00504986" w:rsidDel="00A03F66" w:rsidTr="00925A60">
        <w:trPr>
          <w:trHeight w:val="1465"/>
        </w:trPr>
        <w:tc>
          <w:tcPr>
            <w:tcW w:w="198" w:type="pct"/>
            <w:vMerge/>
            <w:shd w:val="clear" w:color="auto" w:fill="7030A0"/>
            <w:textDirection w:val="btLr"/>
          </w:tcPr>
          <w:p w:rsidR="00925A60" w:rsidRPr="00266C6D" w:rsidRDefault="00925A60" w:rsidP="00542B30">
            <w:pPr>
              <w:jc w:val="center"/>
              <w:rPr>
                <w:b/>
                <w:bCs/>
                <w:color w:val="FFFFFF" w:themeColor="background1"/>
              </w:rPr>
            </w:pPr>
          </w:p>
        </w:tc>
        <w:tc>
          <w:tcPr>
            <w:tcW w:w="1051" w:type="pct"/>
            <w:vMerge/>
            <w:vAlign w:val="center"/>
          </w:tcPr>
          <w:p w:rsidR="00925A60" w:rsidRDefault="00925A60" w:rsidP="00542B30">
            <w:pPr>
              <w:spacing w:line="360" w:lineRule="auto"/>
              <w:jc w:val="both"/>
              <w:rPr>
                <w:rFonts w:asciiTheme="majorHAnsi" w:hAnsiTheme="majorHAnsi" w:cstheme="majorHAnsi"/>
                <w:sz w:val="20"/>
                <w:szCs w:val="20"/>
              </w:rPr>
            </w:pPr>
          </w:p>
        </w:tc>
        <w:tc>
          <w:tcPr>
            <w:tcW w:w="1421" w:type="pct"/>
            <w:vAlign w:val="center"/>
          </w:tcPr>
          <w:p w:rsidR="00925A60" w:rsidRDefault="00925A60" w:rsidP="00542B30">
            <w:pPr>
              <w:spacing w:line="360" w:lineRule="auto"/>
              <w:jc w:val="both"/>
              <w:rPr>
                <w:rFonts w:asciiTheme="majorHAnsi" w:hAnsiTheme="majorHAnsi" w:cstheme="majorHAnsi"/>
                <w:sz w:val="20"/>
                <w:szCs w:val="20"/>
                <w:lang w:val="en-GB"/>
              </w:rPr>
            </w:pPr>
            <w:r>
              <w:rPr>
                <w:rFonts w:asciiTheme="majorHAnsi" w:hAnsiTheme="majorHAnsi" w:cstheme="majorHAnsi"/>
                <w:sz w:val="20"/>
                <w:szCs w:val="20"/>
                <w:lang w:val="en-GB"/>
              </w:rPr>
              <w:t xml:space="preserve">1.3. Number of start-ups or local businesses that have received </w:t>
            </w:r>
            <w:r w:rsidRPr="007F360D">
              <w:rPr>
                <w:rFonts w:asciiTheme="majorHAnsi" w:hAnsiTheme="majorHAnsi" w:cstheme="majorHAnsi"/>
                <w:sz w:val="20"/>
                <w:szCs w:val="20"/>
                <w:lang w:val="en-GB"/>
              </w:rPr>
              <w:t>in-kind</w:t>
            </w:r>
            <w:r>
              <w:rPr>
                <w:rFonts w:asciiTheme="majorHAnsi" w:hAnsiTheme="majorHAnsi" w:cstheme="majorHAnsi"/>
                <w:sz w:val="20"/>
                <w:szCs w:val="20"/>
                <w:lang w:val="en-GB"/>
              </w:rPr>
              <w:t xml:space="preserve">, </w:t>
            </w:r>
            <w:r w:rsidRPr="007F360D">
              <w:rPr>
                <w:rFonts w:asciiTheme="majorHAnsi" w:hAnsiTheme="majorHAnsi" w:cstheme="majorHAnsi"/>
                <w:sz w:val="20"/>
                <w:szCs w:val="20"/>
                <w:lang w:val="en-GB"/>
              </w:rPr>
              <w:t>cash grants</w:t>
            </w:r>
            <w:r>
              <w:rPr>
                <w:rFonts w:asciiTheme="majorHAnsi" w:hAnsiTheme="majorHAnsi" w:cstheme="majorHAnsi"/>
                <w:sz w:val="20"/>
                <w:szCs w:val="20"/>
                <w:lang w:val="en-GB"/>
              </w:rPr>
              <w:t xml:space="preserve"> and/or loans after the training and technical assistance process (Disaggregated by sex, sector and governorate)</w:t>
            </w:r>
          </w:p>
        </w:tc>
        <w:tc>
          <w:tcPr>
            <w:tcW w:w="284" w:type="pct"/>
            <w:vAlign w:val="center"/>
          </w:tcPr>
          <w:p w:rsidR="00925A60" w:rsidRPr="002E1730" w:rsidRDefault="00925A60" w:rsidP="00542B30">
            <w:pPr>
              <w:jc w:val="center"/>
              <w:rPr>
                <w:rFonts w:asciiTheme="majorHAnsi" w:hAnsiTheme="majorHAnsi" w:cstheme="majorHAnsi"/>
                <w:sz w:val="20"/>
                <w:szCs w:val="20"/>
              </w:rPr>
            </w:pPr>
            <w:r>
              <w:rPr>
                <w:rFonts w:asciiTheme="majorHAnsi" w:hAnsiTheme="majorHAnsi" w:cstheme="majorHAnsi"/>
                <w:sz w:val="20"/>
                <w:szCs w:val="20"/>
              </w:rPr>
              <w:t>0</w:t>
            </w:r>
          </w:p>
        </w:tc>
        <w:tc>
          <w:tcPr>
            <w:tcW w:w="426" w:type="pct"/>
            <w:vAlign w:val="center"/>
          </w:tcPr>
          <w:p w:rsidR="00925A60" w:rsidRPr="002E1730" w:rsidRDefault="00925A60" w:rsidP="00542B30">
            <w:pPr>
              <w:spacing w:line="360" w:lineRule="auto"/>
              <w:jc w:val="center"/>
              <w:rPr>
                <w:rFonts w:asciiTheme="majorHAnsi" w:hAnsiTheme="majorHAnsi" w:cstheme="majorHAnsi"/>
                <w:sz w:val="20"/>
                <w:szCs w:val="20"/>
              </w:rPr>
            </w:pPr>
            <w:r>
              <w:rPr>
                <w:rFonts w:asciiTheme="majorHAnsi" w:hAnsiTheme="majorHAnsi" w:cstheme="majorHAnsi"/>
                <w:sz w:val="20"/>
                <w:szCs w:val="20"/>
              </w:rPr>
              <w:t>5,875</w:t>
            </w:r>
          </w:p>
        </w:tc>
        <w:tc>
          <w:tcPr>
            <w:tcW w:w="598" w:type="pct"/>
            <w:vAlign w:val="center"/>
          </w:tcPr>
          <w:p w:rsidR="00925A60" w:rsidRPr="002E1730" w:rsidRDefault="00925A60" w:rsidP="00542B30">
            <w:pPr>
              <w:spacing w:line="360" w:lineRule="auto"/>
              <w:rPr>
                <w:rFonts w:asciiTheme="majorHAnsi" w:hAnsiTheme="majorHAnsi" w:cstheme="majorHAnsi"/>
                <w:sz w:val="20"/>
                <w:szCs w:val="20"/>
              </w:rPr>
            </w:pPr>
            <w:r w:rsidRPr="004005FA">
              <w:rPr>
                <w:rFonts w:asciiTheme="majorHAnsi" w:hAnsiTheme="majorHAnsi" w:cstheme="majorHAnsi"/>
                <w:sz w:val="20"/>
                <w:szCs w:val="20"/>
              </w:rPr>
              <w:t>Intervention</w:t>
            </w:r>
            <w:r>
              <w:rPr>
                <w:rFonts w:asciiTheme="majorHAnsi" w:hAnsiTheme="majorHAnsi" w:cstheme="majorHAnsi"/>
                <w:sz w:val="20"/>
                <w:szCs w:val="20"/>
              </w:rPr>
              <w:t>´</w:t>
            </w:r>
            <w:r w:rsidRPr="004005FA">
              <w:rPr>
                <w:rFonts w:asciiTheme="majorHAnsi" w:hAnsiTheme="majorHAnsi" w:cstheme="majorHAnsi"/>
                <w:sz w:val="20"/>
                <w:szCs w:val="20"/>
              </w:rPr>
              <w:t xml:space="preserve">s monitoring system </w:t>
            </w:r>
            <w:r>
              <w:rPr>
                <w:rFonts w:asciiTheme="majorHAnsi" w:hAnsiTheme="majorHAnsi" w:cstheme="majorHAnsi"/>
                <w:sz w:val="20"/>
                <w:szCs w:val="20"/>
              </w:rPr>
              <w:t>(Technical assistance and financial reports)</w:t>
            </w:r>
          </w:p>
        </w:tc>
        <w:tc>
          <w:tcPr>
            <w:tcW w:w="1022" w:type="pct"/>
            <w:vMerge/>
            <w:vAlign w:val="center"/>
          </w:tcPr>
          <w:p w:rsidR="00925A60" w:rsidRPr="00504986" w:rsidDel="00A03F66" w:rsidRDefault="00925A60" w:rsidP="00542B30">
            <w:pPr>
              <w:spacing w:line="276" w:lineRule="auto"/>
              <w:jc w:val="both"/>
              <w:rPr>
                <w:rFonts w:asciiTheme="majorHAnsi" w:hAnsiTheme="majorHAnsi" w:cstheme="majorHAnsi"/>
                <w:sz w:val="20"/>
                <w:szCs w:val="20"/>
              </w:rPr>
            </w:pPr>
          </w:p>
        </w:tc>
      </w:tr>
      <w:tr w:rsidR="00925A60" w:rsidRPr="002E1730" w:rsidTr="00925A60">
        <w:trPr>
          <w:trHeight w:val="510"/>
        </w:trPr>
        <w:tc>
          <w:tcPr>
            <w:tcW w:w="198" w:type="pct"/>
            <w:vMerge/>
            <w:shd w:val="clear" w:color="auto" w:fill="7030A0"/>
            <w:hideMark/>
          </w:tcPr>
          <w:p w:rsidR="00925A60" w:rsidRPr="00266C6D" w:rsidRDefault="00925A60" w:rsidP="00542B30">
            <w:pPr>
              <w:rPr>
                <w:b/>
                <w:bCs/>
                <w:color w:val="FFFFFF" w:themeColor="background1"/>
              </w:rPr>
            </w:pPr>
          </w:p>
        </w:tc>
        <w:tc>
          <w:tcPr>
            <w:tcW w:w="1051" w:type="pct"/>
            <w:vMerge w:val="restart"/>
            <w:vAlign w:val="center"/>
            <w:hideMark/>
          </w:tcPr>
          <w:p w:rsidR="00925A60" w:rsidRDefault="00925A60" w:rsidP="00542B30">
            <w:pPr>
              <w:jc w:val="both"/>
              <w:rPr>
                <w:rFonts w:asciiTheme="majorHAnsi" w:hAnsiTheme="majorHAnsi" w:cstheme="majorHAnsi"/>
                <w:sz w:val="20"/>
                <w:szCs w:val="20"/>
              </w:rPr>
            </w:pPr>
          </w:p>
          <w:p w:rsidR="00925A60" w:rsidRDefault="00925A60" w:rsidP="00542B30">
            <w:pPr>
              <w:spacing w:line="360" w:lineRule="auto"/>
              <w:jc w:val="both"/>
              <w:rPr>
                <w:rFonts w:asciiTheme="majorHAnsi" w:hAnsiTheme="majorHAnsi" w:cstheme="majorHAnsi"/>
                <w:sz w:val="20"/>
                <w:szCs w:val="20"/>
              </w:rPr>
            </w:pPr>
          </w:p>
          <w:p w:rsidR="00925A60" w:rsidRDefault="00925A60" w:rsidP="00542B30">
            <w:pPr>
              <w:spacing w:line="360" w:lineRule="auto"/>
              <w:jc w:val="both"/>
              <w:rPr>
                <w:sz w:val="20"/>
                <w:szCs w:val="20"/>
                <w:lang w:val="en-GB"/>
              </w:rPr>
            </w:pPr>
            <w:r w:rsidRPr="006E3AAB">
              <w:rPr>
                <w:sz w:val="20"/>
                <w:szCs w:val="20"/>
                <w:lang w:val="en-GB"/>
              </w:rPr>
              <w:t xml:space="preserve">Output 2. </w:t>
            </w:r>
            <w:r w:rsidRPr="00A45DD2">
              <w:rPr>
                <w:sz w:val="20"/>
                <w:szCs w:val="20"/>
                <w:lang w:val="en-GB"/>
              </w:rPr>
              <w:t xml:space="preserve">Increased </w:t>
            </w:r>
            <w:r>
              <w:rPr>
                <w:sz w:val="20"/>
                <w:szCs w:val="20"/>
                <w:lang w:val="en-GB"/>
              </w:rPr>
              <w:t xml:space="preserve">adapted </w:t>
            </w:r>
            <w:r w:rsidRPr="00A45DD2">
              <w:rPr>
                <w:sz w:val="20"/>
                <w:szCs w:val="20"/>
                <w:lang w:val="en-GB"/>
              </w:rPr>
              <w:t xml:space="preserve">offer of financial instruments </w:t>
            </w:r>
            <w:r>
              <w:rPr>
                <w:sz w:val="20"/>
                <w:szCs w:val="20"/>
                <w:lang w:val="en-GB"/>
              </w:rPr>
              <w:t>to young entrepreneurs and/or business owners</w:t>
            </w:r>
          </w:p>
          <w:p w:rsidR="00925A60" w:rsidRPr="002E1730" w:rsidRDefault="00925A60" w:rsidP="00542B30">
            <w:pPr>
              <w:spacing w:line="360" w:lineRule="auto"/>
              <w:jc w:val="both"/>
            </w:pPr>
          </w:p>
        </w:tc>
        <w:tc>
          <w:tcPr>
            <w:tcW w:w="1421" w:type="pct"/>
            <w:vAlign w:val="center"/>
            <w:hideMark/>
          </w:tcPr>
          <w:p w:rsidR="00925A60" w:rsidRPr="006A3D5C" w:rsidRDefault="00925A60" w:rsidP="00542B30">
            <w:pPr>
              <w:spacing w:line="360" w:lineRule="auto"/>
              <w:jc w:val="both"/>
              <w:rPr>
                <w:rFonts w:asciiTheme="majorHAnsi" w:hAnsiTheme="majorHAnsi" w:cstheme="majorHAnsi"/>
                <w:sz w:val="20"/>
                <w:szCs w:val="20"/>
              </w:rPr>
            </w:pPr>
            <w:r w:rsidRPr="00BF39BB">
              <w:rPr>
                <w:rFonts w:asciiTheme="majorHAnsi" w:hAnsiTheme="majorHAnsi" w:cstheme="majorHAnsi"/>
                <w:sz w:val="20"/>
                <w:szCs w:val="20"/>
              </w:rPr>
              <w:t xml:space="preserve">2.1. </w:t>
            </w:r>
            <w:r w:rsidRPr="006A3D5C">
              <w:rPr>
                <w:rFonts w:asciiTheme="majorHAnsi" w:hAnsiTheme="majorHAnsi" w:cstheme="majorHAnsi"/>
                <w:sz w:val="20"/>
                <w:szCs w:val="20"/>
                <w:lang w:val="en-GB"/>
              </w:rPr>
              <w:t>Number</w:t>
            </w:r>
            <w:r w:rsidRPr="00BF39BB">
              <w:rPr>
                <w:rFonts w:asciiTheme="majorHAnsi" w:hAnsiTheme="majorHAnsi" w:cstheme="majorHAnsi"/>
                <w:sz w:val="20"/>
                <w:szCs w:val="20"/>
              </w:rPr>
              <w:t xml:space="preserve"> of people who have participated in a pilot test to design and adapt the financial products to local realities, capacities and needs</w:t>
            </w:r>
            <w:r>
              <w:rPr>
                <w:rFonts w:asciiTheme="majorHAnsi" w:hAnsiTheme="majorHAnsi" w:cstheme="majorHAnsi"/>
                <w:sz w:val="20"/>
                <w:szCs w:val="20"/>
              </w:rPr>
              <w:t xml:space="preserve"> (Disaggregated by sex and governorate)</w:t>
            </w:r>
          </w:p>
          <w:p w:rsidR="00925A60" w:rsidRPr="002E1730" w:rsidRDefault="00925A60" w:rsidP="00542B30">
            <w:pPr>
              <w:spacing w:line="360" w:lineRule="auto"/>
              <w:jc w:val="both"/>
              <w:rPr>
                <w:rFonts w:asciiTheme="majorHAnsi" w:hAnsiTheme="majorHAnsi" w:cstheme="majorHAnsi"/>
                <w:sz w:val="20"/>
                <w:szCs w:val="20"/>
                <w:lang w:val="en-GB"/>
              </w:rPr>
            </w:pPr>
          </w:p>
        </w:tc>
        <w:tc>
          <w:tcPr>
            <w:tcW w:w="284" w:type="pct"/>
            <w:vAlign w:val="center"/>
          </w:tcPr>
          <w:p w:rsidR="00925A60" w:rsidRDefault="00925A60" w:rsidP="00542B30">
            <w:pPr>
              <w:jc w:val="center"/>
              <w:rPr>
                <w:rFonts w:asciiTheme="majorHAnsi" w:hAnsiTheme="majorHAnsi" w:cstheme="majorHAnsi"/>
                <w:sz w:val="20"/>
                <w:szCs w:val="20"/>
                <w:lang w:val="en-GB"/>
              </w:rPr>
            </w:pPr>
          </w:p>
          <w:p w:rsidR="00925A60" w:rsidRPr="002E1730" w:rsidRDefault="00925A60" w:rsidP="00542B30">
            <w:pPr>
              <w:jc w:val="center"/>
            </w:pPr>
            <w:r>
              <w:t>0</w:t>
            </w:r>
          </w:p>
        </w:tc>
        <w:tc>
          <w:tcPr>
            <w:tcW w:w="426" w:type="pct"/>
            <w:vAlign w:val="center"/>
          </w:tcPr>
          <w:p w:rsidR="00925A60" w:rsidRDefault="00925A60" w:rsidP="00542B30">
            <w:pPr>
              <w:spacing w:line="360" w:lineRule="auto"/>
              <w:jc w:val="center"/>
              <w:rPr>
                <w:rFonts w:asciiTheme="majorHAnsi" w:hAnsiTheme="majorHAnsi" w:cstheme="majorHAnsi"/>
                <w:sz w:val="20"/>
                <w:szCs w:val="20"/>
              </w:rPr>
            </w:pPr>
          </w:p>
          <w:p w:rsidR="00925A60" w:rsidRPr="002E1730" w:rsidRDefault="00925A60" w:rsidP="00542B30">
            <w:pPr>
              <w:spacing w:line="360" w:lineRule="auto"/>
              <w:jc w:val="center"/>
            </w:pPr>
            <w:r>
              <w:rPr>
                <w:rFonts w:asciiTheme="majorHAnsi" w:hAnsiTheme="majorHAnsi" w:cstheme="majorHAnsi"/>
                <w:sz w:val="20"/>
                <w:szCs w:val="20"/>
              </w:rPr>
              <w:t>426</w:t>
            </w:r>
          </w:p>
        </w:tc>
        <w:tc>
          <w:tcPr>
            <w:tcW w:w="598" w:type="pct"/>
            <w:vAlign w:val="center"/>
          </w:tcPr>
          <w:p w:rsidR="00925A60" w:rsidRDefault="00925A60" w:rsidP="00542B30">
            <w:pPr>
              <w:spacing w:line="360" w:lineRule="auto"/>
              <w:rPr>
                <w:rFonts w:asciiTheme="majorHAnsi" w:hAnsiTheme="majorHAnsi" w:cstheme="majorHAnsi"/>
                <w:sz w:val="20"/>
                <w:szCs w:val="20"/>
              </w:rPr>
            </w:pPr>
          </w:p>
          <w:p w:rsidR="00925A60" w:rsidRPr="002E1730" w:rsidRDefault="00925A60" w:rsidP="00542B30">
            <w:pPr>
              <w:spacing w:line="360" w:lineRule="auto"/>
            </w:pPr>
            <w:r w:rsidRPr="004005FA">
              <w:rPr>
                <w:rFonts w:asciiTheme="majorHAnsi" w:hAnsiTheme="majorHAnsi" w:cstheme="majorHAnsi"/>
                <w:sz w:val="20"/>
                <w:szCs w:val="20"/>
              </w:rPr>
              <w:t>Intervention</w:t>
            </w:r>
            <w:r>
              <w:rPr>
                <w:rFonts w:asciiTheme="majorHAnsi" w:hAnsiTheme="majorHAnsi" w:cstheme="majorHAnsi"/>
                <w:sz w:val="20"/>
                <w:szCs w:val="20"/>
              </w:rPr>
              <w:t>´</w:t>
            </w:r>
            <w:r w:rsidRPr="004005FA">
              <w:rPr>
                <w:rFonts w:asciiTheme="majorHAnsi" w:hAnsiTheme="majorHAnsi" w:cstheme="majorHAnsi"/>
                <w:sz w:val="20"/>
                <w:szCs w:val="20"/>
              </w:rPr>
              <w:t xml:space="preserve">s monitoring system </w:t>
            </w:r>
            <w:r>
              <w:rPr>
                <w:rFonts w:asciiTheme="majorHAnsi" w:hAnsiTheme="majorHAnsi" w:cstheme="majorHAnsi"/>
                <w:sz w:val="20"/>
                <w:szCs w:val="20"/>
              </w:rPr>
              <w:t>(Pilot phase evaluation)</w:t>
            </w:r>
          </w:p>
        </w:tc>
        <w:tc>
          <w:tcPr>
            <w:tcW w:w="1022" w:type="pct"/>
            <w:vMerge/>
            <w:hideMark/>
          </w:tcPr>
          <w:p w:rsidR="00925A60" w:rsidRPr="002E1730" w:rsidRDefault="00925A60" w:rsidP="00542B30"/>
        </w:tc>
      </w:tr>
      <w:tr w:rsidR="00925A60" w:rsidRPr="00714F48" w:rsidTr="00925A60">
        <w:trPr>
          <w:trHeight w:val="1619"/>
        </w:trPr>
        <w:tc>
          <w:tcPr>
            <w:tcW w:w="198" w:type="pct"/>
            <w:vMerge/>
            <w:shd w:val="clear" w:color="auto" w:fill="7030A0"/>
          </w:tcPr>
          <w:p w:rsidR="00925A60" w:rsidRPr="00266C6D" w:rsidRDefault="00925A60" w:rsidP="00542B30">
            <w:pPr>
              <w:rPr>
                <w:b/>
                <w:bCs/>
                <w:color w:val="FFFFFF" w:themeColor="background1"/>
              </w:rPr>
            </w:pPr>
          </w:p>
        </w:tc>
        <w:tc>
          <w:tcPr>
            <w:tcW w:w="1051" w:type="pct"/>
            <w:vMerge/>
            <w:vAlign w:val="center"/>
          </w:tcPr>
          <w:p w:rsidR="00925A60" w:rsidRDefault="00925A60" w:rsidP="00542B30">
            <w:pPr>
              <w:jc w:val="both"/>
              <w:rPr>
                <w:rFonts w:asciiTheme="majorHAnsi" w:hAnsiTheme="majorHAnsi" w:cstheme="majorHAnsi"/>
                <w:sz w:val="20"/>
                <w:szCs w:val="20"/>
              </w:rPr>
            </w:pPr>
          </w:p>
        </w:tc>
        <w:tc>
          <w:tcPr>
            <w:tcW w:w="1421" w:type="pct"/>
            <w:vAlign w:val="center"/>
          </w:tcPr>
          <w:p w:rsidR="00925A60" w:rsidRPr="006A3D5C" w:rsidDel="00EB5803" w:rsidRDefault="00925A60" w:rsidP="00542B30">
            <w:pPr>
              <w:spacing w:line="360" w:lineRule="auto"/>
              <w:jc w:val="both"/>
              <w:rPr>
                <w:rFonts w:ascii="Times New Roman" w:eastAsia="Times New Roman" w:hAnsi="Times New Roman" w:cs="Times New Roman"/>
                <w:sz w:val="24"/>
                <w:szCs w:val="24"/>
                <w:lang w:val="en-GB" w:eastAsia="es-ES"/>
              </w:rPr>
            </w:pPr>
            <w:r>
              <w:rPr>
                <w:rFonts w:asciiTheme="majorHAnsi" w:hAnsiTheme="majorHAnsi" w:cstheme="majorHAnsi"/>
                <w:sz w:val="20"/>
                <w:szCs w:val="20"/>
              </w:rPr>
              <w:t xml:space="preserve">2.2. </w:t>
            </w:r>
            <w:r w:rsidRPr="006A3D5C">
              <w:rPr>
                <w:rFonts w:asciiTheme="majorHAnsi" w:hAnsiTheme="majorHAnsi" w:cstheme="majorHAnsi"/>
                <w:sz w:val="20"/>
                <w:szCs w:val="20"/>
                <w:lang w:val="en-GB"/>
              </w:rPr>
              <w:t>Number</w:t>
            </w:r>
            <w:r w:rsidRPr="00391558">
              <w:rPr>
                <w:rFonts w:asciiTheme="majorHAnsi" w:hAnsiTheme="majorHAnsi" w:cstheme="majorHAnsi"/>
                <w:sz w:val="20"/>
                <w:szCs w:val="20"/>
              </w:rPr>
              <w:t xml:space="preserve"> of </w:t>
            </w:r>
            <w:r>
              <w:rPr>
                <w:rFonts w:asciiTheme="majorHAnsi" w:hAnsiTheme="majorHAnsi" w:cstheme="majorHAnsi"/>
                <w:sz w:val="20"/>
                <w:szCs w:val="20"/>
              </w:rPr>
              <w:t xml:space="preserve">adapted and inclusive </w:t>
            </w:r>
            <w:r w:rsidRPr="00391558">
              <w:rPr>
                <w:rFonts w:asciiTheme="majorHAnsi" w:hAnsiTheme="majorHAnsi" w:cstheme="majorHAnsi"/>
                <w:sz w:val="20"/>
                <w:szCs w:val="20"/>
              </w:rPr>
              <w:t xml:space="preserve">financial instruments, designed by </w:t>
            </w:r>
            <w:r>
              <w:rPr>
                <w:rFonts w:asciiTheme="majorHAnsi" w:hAnsiTheme="majorHAnsi" w:cstheme="majorHAnsi"/>
                <w:sz w:val="20"/>
                <w:szCs w:val="20"/>
              </w:rPr>
              <w:t xml:space="preserve">the </w:t>
            </w:r>
            <w:r w:rsidRPr="00391558">
              <w:rPr>
                <w:rFonts w:asciiTheme="majorHAnsi" w:hAnsiTheme="majorHAnsi" w:cstheme="majorHAnsi"/>
                <w:sz w:val="20"/>
                <w:szCs w:val="20"/>
              </w:rPr>
              <w:t>intervention, that meet the regulatory and commercial conditions to be launched on the market.</w:t>
            </w:r>
          </w:p>
        </w:tc>
        <w:tc>
          <w:tcPr>
            <w:tcW w:w="284" w:type="pct"/>
            <w:vAlign w:val="center"/>
          </w:tcPr>
          <w:p w:rsidR="00925A60" w:rsidRPr="00714F48" w:rsidRDefault="00925A60" w:rsidP="00542B30">
            <w:pPr>
              <w:jc w:val="center"/>
              <w:rPr>
                <w:rFonts w:asciiTheme="majorHAnsi" w:hAnsiTheme="majorHAnsi" w:cstheme="majorHAnsi"/>
                <w:sz w:val="20"/>
                <w:szCs w:val="20"/>
                <w:lang w:val="en-GB"/>
              </w:rPr>
            </w:pPr>
            <w:r>
              <w:rPr>
                <w:rFonts w:asciiTheme="majorHAnsi" w:hAnsiTheme="majorHAnsi" w:cstheme="majorHAnsi"/>
                <w:sz w:val="20"/>
                <w:szCs w:val="20"/>
                <w:lang w:val="en-GB"/>
              </w:rPr>
              <w:t>0</w:t>
            </w:r>
          </w:p>
        </w:tc>
        <w:tc>
          <w:tcPr>
            <w:tcW w:w="426" w:type="pct"/>
            <w:vAlign w:val="center"/>
          </w:tcPr>
          <w:p w:rsidR="00925A60" w:rsidRPr="00714F48" w:rsidRDefault="00925A60" w:rsidP="00542B30">
            <w:pPr>
              <w:spacing w:line="360" w:lineRule="auto"/>
              <w:jc w:val="center"/>
              <w:rPr>
                <w:rFonts w:asciiTheme="majorHAnsi" w:hAnsiTheme="majorHAnsi" w:cstheme="majorHAnsi"/>
                <w:sz w:val="20"/>
                <w:szCs w:val="20"/>
                <w:lang w:val="en-GB"/>
              </w:rPr>
            </w:pPr>
            <w:r>
              <w:rPr>
                <w:rFonts w:asciiTheme="majorHAnsi" w:hAnsiTheme="majorHAnsi" w:cstheme="majorHAnsi"/>
                <w:sz w:val="20"/>
                <w:szCs w:val="20"/>
                <w:lang w:val="en-GB"/>
              </w:rPr>
              <w:t>2</w:t>
            </w:r>
          </w:p>
        </w:tc>
        <w:tc>
          <w:tcPr>
            <w:tcW w:w="598" w:type="pct"/>
            <w:vAlign w:val="center"/>
          </w:tcPr>
          <w:p w:rsidR="00925A60" w:rsidRPr="00714F48" w:rsidRDefault="00925A60" w:rsidP="00542B30">
            <w:pPr>
              <w:spacing w:line="360" w:lineRule="auto"/>
              <w:rPr>
                <w:rFonts w:asciiTheme="majorHAnsi" w:hAnsiTheme="majorHAnsi" w:cstheme="majorHAnsi"/>
                <w:sz w:val="20"/>
                <w:szCs w:val="20"/>
                <w:lang w:val="en-GB"/>
              </w:rPr>
            </w:pPr>
            <w:r w:rsidRPr="001A5E8D">
              <w:rPr>
                <w:rFonts w:asciiTheme="majorHAnsi" w:hAnsiTheme="majorHAnsi" w:cstheme="majorHAnsi"/>
                <w:sz w:val="20"/>
                <w:szCs w:val="20"/>
              </w:rPr>
              <w:t>Intervention</w:t>
            </w:r>
            <w:r>
              <w:rPr>
                <w:rFonts w:asciiTheme="majorHAnsi" w:hAnsiTheme="majorHAnsi" w:cstheme="majorHAnsi"/>
                <w:sz w:val="20"/>
                <w:szCs w:val="20"/>
              </w:rPr>
              <w:t>´</w:t>
            </w:r>
            <w:r w:rsidRPr="001A5E8D">
              <w:rPr>
                <w:rFonts w:asciiTheme="majorHAnsi" w:hAnsiTheme="majorHAnsi" w:cstheme="majorHAnsi"/>
                <w:sz w:val="20"/>
                <w:szCs w:val="20"/>
              </w:rPr>
              <w:t>s monitoring system</w:t>
            </w:r>
            <w:r>
              <w:rPr>
                <w:rFonts w:asciiTheme="majorHAnsi" w:hAnsiTheme="majorHAnsi" w:cstheme="majorHAnsi"/>
                <w:sz w:val="20"/>
                <w:szCs w:val="20"/>
              </w:rPr>
              <w:t xml:space="preserve"> (Financial institution´s report)</w:t>
            </w:r>
          </w:p>
        </w:tc>
        <w:tc>
          <w:tcPr>
            <w:tcW w:w="1022" w:type="pct"/>
            <w:vMerge/>
          </w:tcPr>
          <w:p w:rsidR="00925A60" w:rsidRPr="00714F48" w:rsidRDefault="00925A60" w:rsidP="00542B30">
            <w:pPr>
              <w:rPr>
                <w:lang w:val="en-GB"/>
              </w:rPr>
            </w:pPr>
          </w:p>
        </w:tc>
      </w:tr>
      <w:tr w:rsidR="00925A60" w:rsidRPr="000C7D30" w:rsidTr="00925A60">
        <w:trPr>
          <w:trHeight w:val="510"/>
        </w:trPr>
        <w:tc>
          <w:tcPr>
            <w:tcW w:w="198" w:type="pct"/>
            <w:vMerge/>
            <w:shd w:val="clear" w:color="auto" w:fill="7030A0"/>
          </w:tcPr>
          <w:p w:rsidR="00925A60" w:rsidRPr="00266C6D" w:rsidRDefault="00925A60" w:rsidP="00542B30">
            <w:pPr>
              <w:rPr>
                <w:b/>
                <w:bCs/>
                <w:color w:val="FFFFFF" w:themeColor="background1"/>
                <w:lang w:val="en-GB"/>
              </w:rPr>
            </w:pPr>
          </w:p>
        </w:tc>
        <w:tc>
          <w:tcPr>
            <w:tcW w:w="1051" w:type="pct"/>
            <w:vMerge/>
            <w:vAlign w:val="center"/>
          </w:tcPr>
          <w:p w:rsidR="00925A60" w:rsidRPr="00A86461" w:rsidRDefault="00925A60" w:rsidP="00542B30">
            <w:pPr>
              <w:jc w:val="both"/>
              <w:rPr>
                <w:rFonts w:asciiTheme="majorHAnsi" w:hAnsiTheme="majorHAnsi" w:cstheme="majorHAnsi"/>
                <w:sz w:val="20"/>
                <w:szCs w:val="20"/>
                <w:lang w:val="en-GB"/>
              </w:rPr>
            </w:pPr>
          </w:p>
        </w:tc>
        <w:tc>
          <w:tcPr>
            <w:tcW w:w="1421" w:type="pct"/>
            <w:vAlign w:val="center"/>
          </w:tcPr>
          <w:p w:rsidR="00925A60" w:rsidRPr="006A3D5C" w:rsidRDefault="00925A60" w:rsidP="00542B30">
            <w:pPr>
              <w:spacing w:line="360" w:lineRule="auto"/>
              <w:jc w:val="both"/>
              <w:rPr>
                <w:rFonts w:asciiTheme="majorHAnsi" w:hAnsiTheme="majorHAnsi" w:cstheme="majorHAnsi"/>
                <w:sz w:val="20"/>
                <w:szCs w:val="20"/>
              </w:rPr>
            </w:pPr>
            <w:r w:rsidRPr="00F04782">
              <w:rPr>
                <w:rFonts w:asciiTheme="majorHAnsi" w:hAnsiTheme="majorHAnsi" w:cstheme="majorHAnsi"/>
                <w:sz w:val="20"/>
                <w:szCs w:val="20"/>
              </w:rPr>
              <w:t xml:space="preserve">2.4. </w:t>
            </w:r>
            <w:r w:rsidRPr="006A3D5C">
              <w:rPr>
                <w:rFonts w:asciiTheme="majorHAnsi" w:hAnsiTheme="majorHAnsi" w:cstheme="majorHAnsi"/>
                <w:sz w:val="20"/>
                <w:szCs w:val="20"/>
                <w:lang w:val="en-GB"/>
              </w:rPr>
              <w:t>Number</w:t>
            </w:r>
            <w:r w:rsidRPr="00F04782">
              <w:rPr>
                <w:rFonts w:asciiTheme="majorHAnsi" w:hAnsiTheme="majorHAnsi" w:cstheme="majorHAnsi"/>
                <w:sz w:val="20"/>
                <w:szCs w:val="20"/>
              </w:rPr>
              <w:t xml:space="preserve"> of people who have opened</w:t>
            </w:r>
            <w:r>
              <w:rPr>
                <w:rFonts w:asciiTheme="majorHAnsi" w:hAnsiTheme="majorHAnsi" w:cstheme="majorHAnsi"/>
                <w:sz w:val="20"/>
                <w:szCs w:val="20"/>
              </w:rPr>
              <w:t xml:space="preserve"> new</w:t>
            </w:r>
            <w:r w:rsidRPr="00F04782">
              <w:rPr>
                <w:rFonts w:asciiTheme="majorHAnsi" w:hAnsiTheme="majorHAnsi" w:cstheme="majorHAnsi"/>
                <w:sz w:val="20"/>
                <w:szCs w:val="20"/>
              </w:rPr>
              <w:t xml:space="preserve"> bank accounts with the support of the intervention</w:t>
            </w:r>
            <w:r>
              <w:rPr>
                <w:rFonts w:asciiTheme="majorHAnsi" w:hAnsiTheme="majorHAnsi" w:cstheme="majorHAnsi"/>
                <w:sz w:val="20"/>
                <w:szCs w:val="20"/>
              </w:rPr>
              <w:t xml:space="preserve"> (Disaggregated by sex and governorate)</w:t>
            </w:r>
          </w:p>
        </w:tc>
        <w:tc>
          <w:tcPr>
            <w:tcW w:w="284" w:type="pct"/>
            <w:vAlign w:val="center"/>
          </w:tcPr>
          <w:p w:rsidR="00925A60" w:rsidRPr="000C7D30" w:rsidRDefault="00925A60" w:rsidP="00542B30">
            <w:pPr>
              <w:jc w:val="center"/>
              <w:rPr>
                <w:rFonts w:asciiTheme="majorHAnsi" w:hAnsiTheme="majorHAnsi" w:cstheme="majorHAnsi"/>
                <w:sz w:val="20"/>
                <w:szCs w:val="20"/>
                <w:lang w:val="en-GB"/>
              </w:rPr>
            </w:pPr>
            <w:r>
              <w:rPr>
                <w:rFonts w:asciiTheme="majorHAnsi" w:hAnsiTheme="majorHAnsi" w:cstheme="majorHAnsi"/>
                <w:sz w:val="20"/>
                <w:szCs w:val="20"/>
                <w:lang w:val="en-GB"/>
              </w:rPr>
              <w:t>0</w:t>
            </w:r>
          </w:p>
        </w:tc>
        <w:tc>
          <w:tcPr>
            <w:tcW w:w="426" w:type="pct"/>
            <w:vAlign w:val="center"/>
          </w:tcPr>
          <w:p w:rsidR="00925A60" w:rsidRPr="000C7D30" w:rsidRDefault="00925A60" w:rsidP="00542B30">
            <w:pPr>
              <w:spacing w:line="360" w:lineRule="auto"/>
              <w:jc w:val="center"/>
              <w:rPr>
                <w:rFonts w:asciiTheme="majorHAnsi" w:hAnsiTheme="majorHAnsi" w:cstheme="majorHAnsi"/>
                <w:sz w:val="20"/>
                <w:szCs w:val="20"/>
                <w:lang w:val="en-GB"/>
              </w:rPr>
            </w:pPr>
            <w:r>
              <w:rPr>
                <w:rFonts w:asciiTheme="majorHAnsi" w:hAnsiTheme="majorHAnsi" w:cstheme="majorHAnsi"/>
                <w:sz w:val="20"/>
                <w:szCs w:val="20"/>
                <w:lang w:val="en-GB"/>
              </w:rPr>
              <w:t xml:space="preserve"> 14,286</w:t>
            </w:r>
          </w:p>
        </w:tc>
        <w:tc>
          <w:tcPr>
            <w:tcW w:w="598" w:type="pct"/>
            <w:vAlign w:val="center"/>
          </w:tcPr>
          <w:p w:rsidR="00925A60" w:rsidRPr="000C7D30" w:rsidRDefault="00925A60" w:rsidP="00542B30">
            <w:pPr>
              <w:spacing w:line="360" w:lineRule="auto"/>
              <w:rPr>
                <w:rFonts w:asciiTheme="majorHAnsi" w:hAnsiTheme="majorHAnsi" w:cstheme="majorHAnsi"/>
                <w:sz w:val="20"/>
                <w:szCs w:val="20"/>
                <w:lang w:val="en-GB"/>
              </w:rPr>
            </w:pPr>
            <w:r w:rsidRPr="004005FA">
              <w:rPr>
                <w:rFonts w:asciiTheme="majorHAnsi" w:hAnsiTheme="majorHAnsi" w:cstheme="majorHAnsi"/>
                <w:sz w:val="20"/>
                <w:szCs w:val="20"/>
              </w:rPr>
              <w:t>Intervention</w:t>
            </w:r>
            <w:r>
              <w:rPr>
                <w:rFonts w:asciiTheme="majorHAnsi" w:hAnsiTheme="majorHAnsi" w:cstheme="majorHAnsi"/>
                <w:sz w:val="20"/>
                <w:szCs w:val="20"/>
              </w:rPr>
              <w:t>´</w:t>
            </w:r>
            <w:r w:rsidRPr="004005FA">
              <w:rPr>
                <w:rFonts w:asciiTheme="majorHAnsi" w:hAnsiTheme="majorHAnsi" w:cstheme="majorHAnsi"/>
                <w:sz w:val="20"/>
                <w:szCs w:val="20"/>
              </w:rPr>
              <w:t>s monitoring system (</w:t>
            </w:r>
            <w:r>
              <w:rPr>
                <w:rFonts w:asciiTheme="majorHAnsi" w:hAnsiTheme="majorHAnsi" w:cstheme="majorHAnsi"/>
                <w:sz w:val="20"/>
                <w:szCs w:val="20"/>
              </w:rPr>
              <w:t>Trainers and field team´s reports</w:t>
            </w:r>
            <w:r w:rsidRPr="004005FA">
              <w:rPr>
                <w:rFonts w:asciiTheme="majorHAnsi" w:hAnsiTheme="majorHAnsi" w:cstheme="majorHAnsi"/>
                <w:sz w:val="20"/>
                <w:szCs w:val="20"/>
              </w:rPr>
              <w:t>)</w:t>
            </w:r>
          </w:p>
        </w:tc>
        <w:tc>
          <w:tcPr>
            <w:tcW w:w="1022" w:type="pct"/>
            <w:vMerge/>
          </w:tcPr>
          <w:p w:rsidR="00925A60" w:rsidRPr="000C7D30" w:rsidRDefault="00925A60" w:rsidP="00542B30">
            <w:pPr>
              <w:rPr>
                <w:lang w:val="en-GB"/>
              </w:rPr>
            </w:pPr>
          </w:p>
        </w:tc>
      </w:tr>
      <w:tr w:rsidR="00925A60" w:rsidRPr="00B03640" w:rsidTr="00925A60">
        <w:trPr>
          <w:trHeight w:val="1340"/>
        </w:trPr>
        <w:tc>
          <w:tcPr>
            <w:tcW w:w="198" w:type="pct"/>
            <w:vMerge w:val="restart"/>
            <w:shd w:val="clear" w:color="auto" w:fill="7030A0"/>
            <w:textDirection w:val="btLr"/>
            <w:hideMark/>
          </w:tcPr>
          <w:p w:rsidR="00925A60" w:rsidRPr="005701E7" w:rsidRDefault="00925A60" w:rsidP="00542B30">
            <w:pPr>
              <w:jc w:val="center"/>
              <w:rPr>
                <w:rFonts w:asciiTheme="majorHAnsi" w:hAnsiTheme="majorHAnsi" w:cstheme="majorHAnsi"/>
                <w:b/>
                <w:bCs/>
                <w:color w:val="FFFFFF" w:themeColor="background1"/>
                <w:sz w:val="20"/>
                <w:szCs w:val="20"/>
              </w:rPr>
            </w:pPr>
            <w:r w:rsidRPr="005701E7">
              <w:rPr>
                <w:rFonts w:asciiTheme="majorHAnsi" w:hAnsiTheme="majorHAnsi" w:cstheme="majorHAnsi"/>
                <w:b/>
                <w:bCs/>
                <w:color w:val="FFFFFF" w:themeColor="background1"/>
                <w:sz w:val="20"/>
                <w:szCs w:val="20"/>
              </w:rPr>
              <w:lastRenderedPageBreak/>
              <w:t>Activities</w:t>
            </w:r>
          </w:p>
        </w:tc>
        <w:tc>
          <w:tcPr>
            <w:tcW w:w="1051" w:type="pct"/>
            <w:vAlign w:val="center"/>
            <w:hideMark/>
          </w:tcPr>
          <w:p w:rsidR="00925A60" w:rsidRPr="002E1730" w:rsidRDefault="00925A60" w:rsidP="00542B30">
            <w:pPr>
              <w:spacing w:line="360" w:lineRule="auto"/>
              <w:jc w:val="both"/>
              <w:rPr>
                <w:rFonts w:asciiTheme="majorHAnsi" w:hAnsiTheme="majorHAnsi" w:cstheme="majorHAnsi"/>
                <w:i/>
                <w:iCs/>
                <w:sz w:val="20"/>
                <w:szCs w:val="20"/>
              </w:rPr>
            </w:pPr>
            <w:r w:rsidRPr="002E1730">
              <w:rPr>
                <w:rFonts w:asciiTheme="majorHAnsi" w:hAnsiTheme="majorHAnsi" w:cstheme="majorHAnsi"/>
                <w:i/>
                <w:iCs/>
                <w:sz w:val="20"/>
                <w:szCs w:val="20"/>
              </w:rPr>
              <w:t xml:space="preserve">A0.1 </w:t>
            </w:r>
            <w:r w:rsidRPr="002E1730">
              <w:rPr>
                <w:sz w:val="20"/>
                <w:szCs w:val="20"/>
              </w:rPr>
              <w:t>Development</w:t>
            </w:r>
            <w:r w:rsidRPr="002E1730">
              <w:rPr>
                <w:rFonts w:asciiTheme="majorHAnsi" w:hAnsiTheme="majorHAnsi" w:cstheme="majorHAnsi"/>
                <w:i/>
                <w:iCs/>
                <w:sz w:val="20"/>
                <w:szCs w:val="20"/>
              </w:rPr>
              <w:t xml:space="preserve"> of project management framework, assessment and building of partner capacity, recruitment of staff</w:t>
            </w:r>
          </w:p>
        </w:tc>
        <w:tc>
          <w:tcPr>
            <w:tcW w:w="2729" w:type="pct"/>
            <w:gridSpan w:val="4"/>
            <w:vMerge w:val="restart"/>
            <w:hideMark/>
          </w:tcPr>
          <w:p w:rsidR="00925A60" w:rsidRPr="002E1730" w:rsidRDefault="00925A60" w:rsidP="00542B30">
            <w:pPr>
              <w:jc w:val="both"/>
              <w:rPr>
                <w:rFonts w:asciiTheme="majorHAnsi" w:hAnsiTheme="majorHAnsi" w:cstheme="majorHAnsi"/>
                <w:b/>
                <w:bCs/>
                <w:sz w:val="20"/>
                <w:szCs w:val="20"/>
              </w:rPr>
            </w:pPr>
          </w:p>
          <w:p w:rsidR="00925A60" w:rsidRDefault="00925A60" w:rsidP="00542B30">
            <w:pPr>
              <w:spacing w:line="360" w:lineRule="auto"/>
              <w:jc w:val="both"/>
              <w:rPr>
                <w:rFonts w:asciiTheme="majorHAnsi" w:hAnsiTheme="majorHAnsi" w:cstheme="majorHAnsi"/>
                <w:b/>
                <w:bCs/>
                <w:sz w:val="20"/>
                <w:szCs w:val="20"/>
              </w:rPr>
            </w:pPr>
            <w:r w:rsidRPr="002E1730">
              <w:rPr>
                <w:rFonts w:asciiTheme="majorHAnsi" w:hAnsiTheme="majorHAnsi" w:cstheme="majorHAnsi"/>
                <w:b/>
                <w:bCs/>
                <w:sz w:val="20"/>
                <w:szCs w:val="20"/>
              </w:rPr>
              <w:t xml:space="preserve">Main Means: </w:t>
            </w:r>
            <w:r w:rsidRPr="002E1730">
              <w:rPr>
                <w:rFonts w:asciiTheme="majorHAnsi" w:hAnsiTheme="majorHAnsi" w:cstheme="majorHAnsi"/>
                <w:b/>
                <w:bCs/>
                <w:sz w:val="20"/>
                <w:szCs w:val="20"/>
              </w:rPr>
              <w:br w:type="page"/>
            </w:r>
          </w:p>
          <w:p w:rsidR="00925A60" w:rsidRPr="007E5341" w:rsidRDefault="00925A60" w:rsidP="00925A60">
            <w:pPr>
              <w:pStyle w:val="ListParagraph"/>
              <w:numPr>
                <w:ilvl w:val="0"/>
                <w:numId w:val="1"/>
              </w:numPr>
              <w:spacing w:after="0" w:line="360" w:lineRule="auto"/>
              <w:jc w:val="both"/>
              <w:rPr>
                <w:rFonts w:asciiTheme="majorHAnsi" w:hAnsiTheme="majorHAnsi" w:cstheme="majorHAnsi"/>
                <w:sz w:val="20"/>
                <w:szCs w:val="20"/>
              </w:rPr>
            </w:pPr>
            <w:r w:rsidRPr="007E5341">
              <w:rPr>
                <w:rFonts w:asciiTheme="majorHAnsi" w:hAnsiTheme="majorHAnsi" w:cstheme="majorHAnsi"/>
                <w:b/>
                <w:bCs/>
                <w:sz w:val="20"/>
                <w:szCs w:val="20"/>
              </w:rPr>
              <w:br w:type="page"/>
              <w:t>Salaries and per diems:</w:t>
            </w:r>
            <w:r w:rsidRPr="007E5341">
              <w:rPr>
                <w:rFonts w:asciiTheme="majorHAnsi" w:hAnsiTheme="majorHAnsi" w:cstheme="majorHAnsi"/>
                <w:sz w:val="20"/>
                <w:szCs w:val="20"/>
              </w:rPr>
              <w:t xml:space="preserve"> Activities will be implemented by staff from </w:t>
            </w:r>
            <w:proofErr w:type="spellStart"/>
            <w:r w:rsidRPr="007E5341">
              <w:rPr>
                <w:rFonts w:asciiTheme="majorHAnsi" w:hAnsiTheme="majorHAnsi" w:cstheme="majorHAnsi"/>
                <w:sz w:val="20"/>
                <w:szCs w:val="20"/>
              </w:rPr>
              <w:t>Silatech</w:t>
            </w:r>
            <w:proofErr w:type="spellEnd"/>
            <w:r w:rsidRPr="007E5341">
              <w:rPr>
                <w:rFonts w:asciiTheme="majorHAnsi" w:hAnsiTheme="majorHAnsi" w:cstheme="majorHAnsi"/>
                <w:sz w:val="20"/>
                <w:szCs w:val="20"/>
              </w:rPr>
              <w:t xml:space="preserve"> and Al-Amal Bank (with support from researchers, consultants, trainers and interpreters when needed). Each organization will deploy appropriate staff resources to implement activities and to ensure collaboration throughout the action. This also includes relevant per diems required in Yemen and in the MENA region.</w:t>
            </w:r>
            <w:r w:rsidRPr="007E5341">
              <w:rPr>
                <w:rFonts w:asciiTheme="majorHAnsi" w:hAnsiTheme="majorHAnsi" w:cstheme="majorHAnsi"/>
                <w:sz w:val="20"/>
                <w:szCs w:val="20"/>
              </w:rPr>
              <w:br w:type="page"/>
            </w:r>
            <w:r w:rsidRPr="007E5341">
              <w:rPr>
                <w:rFonts w:asciiTheme="majorHAnsi" w:hAnsiTheme="majorHAnsi" w:cstheme="majorHAnsi"/>
                <w:sz w:val="20"/>
                <w:szCs w:val="20"/>
              </w:rPr>
              <w:br w:type="page"/>
              <w:t xml:space="preserve"> </w:t>
            </w:r>
          </w:p>
          <w:p w:rsidR="00925A60" w:rsidRDefault="00925A60" w:rsidP="00925A60">
            <w:pPr>
              <w:pStyle w:val="ListParagraph"/>
              <w:numPr>
                <w:ilvl w:val="0"/>
                <w:numId w:val="1"/>
              </w:numPr>
              <w:spacing w:after="0" w:line="360" w:lineRule="auto"/>
              <w:jc w:val="both"/>
              <w:rPr>
                <w:rFonts w:asciiTheme="majorHAnsi" w:hAnsiTheme="majorHAnsi" w:cstheme="majorHAnsi"/>
                <w:sz w:val="20"/>
                <w:szCs w:val="20"/>
              </w:rPr>
            </w:pPr>
            <w:r w:rsidRPr="00F72D40">
              <w:rPr>
                <w:rFonts w:asciiTheme="majorHAnsi" w:hAnsiTheme="majorHAnsi" w:cstheme="majorHAnsi"/>
                <w:b/>
                <w:bCs/>
                <w:sz w:val="20"/>
                <w:szCs w:val="20"/>
              </w:rPr>
              <w:t xml:space="preserve">Local and international travel: </w:t>
            </w:r>
            <w:r>
              <w:rPr>
                <w:rFonts w:asciiTheme="majorHAnsi" w:hAnsiTheme="majorHAnsi" w:cstheme="majorHAnsi"/>
                <w:sz w:val="20"/>
                <w:szCs w:val="20"/>
              </w:rPr>
              <w:t>C</w:t>
            </w:r>
            <w:r w:rsidRPr="002E1730">
              <w:rPr>
                <w:rFonts w:asciiTheme="majorHAnsi" w:hAnsiTheme="majorHAnsi" w:cstheme="majorHAnsi"/>
                <w:sz w:val="20"/>
                <w:szCs w:val="20"/>
              </w:rPr>
              <w:t>osts have been included for any needed travel whether international flights to/from Yemen to/from other countries or travelling inside Yemen within and between governorates.</w:t>
            </w:r>
          </w:p>
          <w:p w:rsidR="00925A60" w:rsidRPr="00C323F9" w:rsidRDefault="00925A60" w:rsidP="00925A60">
            <w:pPr>
              <w:pStyle w:val="ListParagraph"/>
              <w:numPr>
                <w:ilvl w:val="0"/>
                <w:numId w:val="1"/>
              </w:numPr>
              <w:spacing w:after="0" w:line="360" w:lineRule="auto"/>
              <w:jc w:val="both"/>
              <w:rPr>
                <w:rFonts w:asciiTheme="majorHAnsi" w:hAnsiTheme="majorHAnsi" w:cstheme="majorHAnsi"/>
                <w:sz w:val="20"/>
                <w:szCs w:val="20"/>
              </w:rPr>
            </w:pPr>
            <w:r w:rsidRPr="00C323F9">
              <w:rPr>
                <w:rFonts w:asciiTheme="majorHAnsi" w:hAnsiTheme="majorHAnsi" w:cstheme="majorHAnsi"/>
                <w:b/>
                <w:bCs/>
                <w:sz w:val="20"/>
                <w:szCs w:val="20"/>
              </w:rPr>
              <w:br w:type="page"/>
              <w:t>Publications/Studies/Research:</w:t>
            </w:r>
            <w:r w:rsidRPr="00C323F9">
              <w:rPr>
                <w:rFonts w:asciiTheme="majorHAnsi" w:hAnsiTheme="majorHAnsi" w:cstheme="majorHAnsi"/>
                <w:sz w:val="20"/>
                <w:szCs w:val="20"/>
              </w:rPr>
              <w:t xml:space="preserve"> Costs have been included for any writing, lay out, translation, editing and printing of training materials and curriculum design, reports briefings and infographics, some of which would be produced in English and Arabic.</w:t>
            </w:r>
          </w:p>
          <w:p w:rsidR="00925A60" w:rsidRPr="008E594E" w:rsidRDefault="00925A60" w:rsidP="00925A60">
            <w:pPr>
              <w:pStyle w:val="ListParagraph"/>
              <w:numPr>
                <w:ilvl w:val="0"/>
                <w:numId w:val="1"/>
              </w:numPr>
              <w:spacing w:after="0" w:line="360" w:lineRule="auto"/>
              <w:jc w:val="both"/>
              <w:rPr>
                <w:rFonts w:asciiTheme="majorHAnsi" w:hAnsiTheme="majorHAnsi" w:cstheme="majorHAnsi"/>
                <w:sz w:val="20"/>
                <w:szCs w:val="20"/>
                <w:highlight w:val="yellow"/>
              </w:rPr>
            </w:pPr>
            <w:r w:rsidRPr="00F72D40">
              <w:rPr>
                <w:rFonts w:asciiTheme="majorHAnsi" w:hAnsiTheme="majorHAnsi" w:cstheme="majorHAnsi"/>
                <w:b/>
                <w:bCs/>
                <w:sz w:val="20"/>
                <w:szCs w:val="20"/>
              </w:rPr>
              <w:br w:type="page"/>
            </w:r>
            <w:r w:rsidRPr="00F72D40">
              <w:rPr>
                <w:rFonts w:asciiTheme="majorHAnsi" w:hAnsiTheme="majorHAnsi" w:cstheme="majorHAnsi"/>
                <w:b/>
                <w:bCs/>
                <w:sz w:val="20"/>
                <w:szCs w:val="20"/>
              </w:rPr>
              <w:br w:type="page"/>
            </w:r>
            <w:r w:rsidRPr="008E594E">
              <w:rPr>
                <w:rFonts w:asciiTheme="majorHAnsi" w:hAnsiTheme="majorHAnsi" w:cstheme="majorHAnsi"/>
                <w:b/>
                <w:bCs/>
                <w:sz w:val="20"/>
                <w:szCs w:val="20"/>
                <w:highlight w:val="yellow"/>
              </w:rPr>
              <w:t>Cost of Training and Capacity Building of 6,400 entrepreneurs:</w:t>
            </w:r>
            <w:r w:rsidRPr="008E594E">
              <w:rPr>
                <w:rFonts w:asciiTheme="majorHAnsi" w:hAnsiTheme="majorHAnsi" w:cstheme="majorHAnsi"/>
                <w:sz w:val="20"/>
                <w:szCs w:val="20"/>
                <w:highlight w:val="yellow"/>
              </w:rPr>
              <w:t xml:space="preserve"> One of the two major components of the action focuses on building youth capacity. Costs have been included for developing the training material, the training of trainers. Furthermore, costs have been included for venue and refreshment and supplies to support workshops in Yemen. </w:t>
            </w:r>
          </w:p>
          <w:p w:rsidR="00925A60" w:rsidRDefault="00925A60" w:rsidP="00925A60">
            <w:pPr>
              <w:pStyle w:val="ListParagraph"/>
              <w:numPr>
                <w:ilvl w:val="0"/>
                <w:numId w:val="1"/>
              </w:numPr>
              <w:spacing w:after="0" w:line="360" w:lineRule="auto"/>
              <w:jc w:val="both"/>
              <w:rPr>
                <w:rFonts w:asciiTheme="majorHAnsi" w:hAnsiTheme="majorHAnsi" w:cstheme="majorHAnsi"/>
                <w:sz w:val="20"/>
                <w:szCs w:val="20"/>
              </w:rPr>
            </w:pPr>
            <w:r w:rsidRPr="00F72D40">
              <w:rPr>
                <w:rFonts w:asciiTheme="majorHAnsi" w:hAnsiTheme="majorHAnsi" w:cstheme="majorHAnsi"/>
                <w:b/>
                <w:bCs/>
                <w:sz w:val="20"/>
                <w:szCs w:val="20"/>
              </w:rPr>
              <w:br w:type="page"/>
            </w:r>
            <w:r w:rsidRPr="00F72D40">
              <w:rPr>
                <w:rFonts w:asciiTheme="majorHAnsi" w:hAnsiTheme="majorHAnsi" w:cstheme="majorHAnsi"/>
                <w:b/>
                <w:bCs/>
                <w:sz w:val="20"/>
                <w:szCs w:val="20"/>
              </w:rPr>
              <w:br w:type="page"/>
              <w:t>Cost of Grants</w:t>
            </w:r>
            <w:r>
              <w:rPr>
                <w:rFonts w:asciiTheme="majorHAnsi" w:hAnsiTheme="majorHAnsi" w:cstheme="majorHAnsi"/>
                <w:b/>
                <w:bCs/>
                <w:sz w:val="20"/>
                <w:szCs w:val="20"/>
              </w:rPr>
              <w:t xml:space="preserve"> of 14, 286 </w:t>
            </w:r>
            <w:r w:rsidRPr="00F72D40">
              <w:rPr>
                <w:rFonts w:asciiTheme="majorHAnsi" w:hAnsiTheme="majorHAnsi" w:cstheme="majorHAnsi"/>
                <w:b/>
                <w:bCs/>
                <w:sz w:val="20"/>
                <w:szCs w:val="20"/>
              </w:rPr>
              <w:t>entrepreneurs:</w:t>
            </w:r>
            <w:r>
              <w:rPr>
                <w:rFonts w:asciiTheme="majorHAnsi" w:hAnsiTheme="majorHAnsi" w:cstheme="majorHAnsi"/>
                <w:b/>
                <w:bCs/>
                <w:sz w:val="20"/>
                <w:szCs w:val="20"/>
              </w:rPr>
              <w:t xml:space="preserve"> </w:t>
            </w:r>
            <w:r>
              <w:rPr>
                <w:rFonts w:asciiTheme="majorHAnsi" w:hAnsiTheme="majorHAnsi" w:cstheme="majorHAnsi"/>
                <w:sz w:val="20"/>
                <w:szCs w:val="20"/>
              </w:rPr>
              <w:t>T</w:t>
            </w:r>
            <w:r w:rsidRPr="002E1730">
              <w:rPr>
                <w:rFonts w:asciiTheme="majorHAnsi" w:hAnsiTheme="majorHAnsi" w:cstheme="majorHAnsi"/>
                <w:sz w:val="20"/>
                <w:szCs w:val="20"/>
              </w:rPr>
              <w:t>he main major component of the action focuses on providing young women and men with grants so that they can start new business</w:t>
            </w:r>
            <w:r>
              <w:rPr>
                <w:rFonts w:asciiTheme="majorHAnsi" w:hAnsiTheme="majorHAnsi" w:cstheme="majorHAnsi"/>
                <w:sz w:val="20"/>
                <w:szCs w:val="20"/>
              </w:rPr>
              <w:t>es,</w:t>
            </w:r>
            <w:r w:rsidRPr="002E1730">
              <w:rPr>
                <w:rFonts w:asciiTheme="majorHAnsi" w:hAnsiTheme="majorHAnsi" w:cstheme="majorHAnsi"/>
                <w:sz w:val="20"/>
                <w:szCs w:val="20"/>
              </w:rPr>
              <w:t xml:space="preserve"> recover struggling busines</w:t>
            </w:r>
            <w:r>
              <w:rPr>
                <w:rFonts w:asciiTheme="majorHAnsi" w:hAnsiTheme="majorHAnsi" w:cstheme="majorHAnsi"/>
                <w:sz w:val="20"/>
                <w:szCs w:val="20"/>
              </w:rPr>
              <w:t>se</w:t>
            </w:r>
            <w:r w:rsidRPr="002E1730">
              <w:rPr>
                <w:rFonts w:asciiTheme="majorHAnsi" w:hAnsiTheme="majorHAnsi" w:cstheme="majorHAnsi"/>
                <w:sz w:val="20"/>
                <w:szCs w:val="20"/>
              </w:rPr>
              <w:t>s</w:t>
            </w:r>
            <w:r>
              <w:rPr>
                <w:rFonts w:asciiTheme="majorHAnsi" w:hAnsiTheme="majorHAnsi" w:cstheme="majorHAnsi"/>
                <w:sz w:val="20"/>
                <w:szCs w:val="20"/>
              </w:rPr>
              <w:t xml:space="preserve">, or are </w:t>
            </w:r>
            <w:r w:rsidRPr="00F72D40">
              <w:rPr>
                <w:rFonts w:asciiTheme="majorHAnsi" w:hAnsiTheme="majorHAnsi" w:cstheme="majorHAnsi"/>
                <w:sz w:val="20"/>
                <w:szCs w:val="20"/>
              </w:rPr>
              <w:t xml:space="preserve">supported in maintaining and scaling </w:t>
            </w:r>
            <w:r>
              <w:rPr>
                <w:rFonts w:asciiTheme="majorHAnsi" w:hAnsiTheme="majorHAnsi" w:cstheme="majorHAnsi"/>
                <w:sz w:val="20"/>
                <w:szCs w:val="20"/>
              </w:rPr>
              <w:t>existing</w:t>
            </w:r>
            <w:r w:rsidRPr="00F72D40">
              <w:rPr>
                <w:rFonts w:asciiTheme="majorHAnsi" w:hAnsiTheme="majorHAnsi" w:cstheme="majorHAnsi"/>
                <w:sz w:val="20"/>
                <w:szCs w:val="20"/>
              </w:rPr>
              <w:t xml:space="preserve"> business</w:t>
            </w:r>
            <w:r>
              <w:rPr>
                <w:rFonts w:asciiTheme="majorHAnsi" w:hAnsiTheme="majorHAnsi" w:cstheme="majorHAnsi"/>
                <w:sz w:val="20"/>
                <w:szCs w:val="20"/>
              </w:rPr>
              <w:t xml:space="preserve">es. </w:t>
            </w:r>
            <w:r w:rsidRPr="002E1730">
              <w:rPr>
                <w:rFonts w:asciiTheme="majorHAnsi" w:hAnsiTheme="majorHAnsi" w:cstheme="majorHAnsi"/>
                <w:sz w:val="20"/>
                <w:szCs w:val="20"/>
              </w:rPr>
              <w:t>Costs have been included for developing the grant scheme, and for the grants.</w:t>
            </w:r>
          </w:p>
          <w:p w:rsidR="00925A60" w:rsidRDefault="00925A60" w:rsidP="00925A60">
            <w:pPr>
              <w:pStyle w:val="ListParagraph"/>
              <w:numPr>
                <w:ilvl w:val="0"/>
                <w:numId w:val="1"/>
              </w:numPr>
              <w:spacing w:after="0" w:line="360" w:lineRule="auto"/>
              <w:jc w:val="both"/>
              <w:rPr>
                <w:rFonts w:asciiTheme="majorHAnsi" w:hAnsiTheme="majorHAnsi" w:cstheme="majorHAnsi"/>
                <w:sz w:val="20"/>
                <w:szCs w:val="20"/>
              </w:rPr>
            </w:pPr>
            <w:r w:rsidRPr="00F72D40">
              <w:rPr>
                <w:rFonts w:asciiTheme="majorHAnsi" w:hAnsiTheme="majorHAnsi" w:cstheme="majorHAnsi"/>
                <w:b/>
                <w:bCs/>
                <w:sz w:val="20"/>
                <w:szCs w:val="20"/>
              </w:rPr>
              <w:br w:type="page"/>
            </w:r>
            <w:r w:rsidRPr="00F72D40">
              <w:rPr>
                <w:rFonts w:asciiTheme="majorHAnsi" w:hAnsiTheme="majorHAnsi" w:cstheme="majorHAnsi"/>
                <w:b/>
                <w:bCs/>
                <w:sz w:val="20"/>
                <w:szCs w:val="20"/>
              </w:rPr>
              <w:br w:type="page"/>
              <w:t>Evaluation/Audit:</w:t>
            </w:r>
            <w:r w:rsidRPr="002E1730">
              <w:rPr>
                <w:rFonts w:asciiTheme="majorHAnsi" w:hAnsiTheme="majorHAnsi" w:cstheme="majorHAnsi"/>
                <w:sz w:val="20"/>
                <w:szCs w:val="20"/>
              </w:rPr>
              <w:t xml:space="preserve"> </w:t>
            </w:r>
            <w:r>
              <w:rPr>
                <w:rFonts w:asciiTheme="majorHAnsi" w:hAnsiTheme="majorHAnsi" w:cstheme="majorHAnsi"/>
                <w:sz w:val="20"/>
                <w:szCs w:val="20"/>
              </w:rPr>
              <w:t>C</w:t>
            </w:r>
            <w:r w:rsidRPr="002E1730">
              <w:rPr>
                <w:rFonts w:asciiTheme="majorHAnsi" w:hAnsiTheme="majorHAnsi" w:cstheme="majorHAnsi"/>
                <w:sz w:val="20"/>
                <w:szCs w:val="20"/>
              </w:rPr>
              <w:t xml:space="preserve">osts have been included for independent audits and a final evaluation to be undertaken upon completion of the grant. Monitoring aims to identify the use of distributed cash, </w:t>
            </w:r>
            <w:r>
              <w:rPr>
                <w:rFonts w:asciiTheme="majorHAnsi" w:hAnsiTheme="majorHAnsi" w:cstheme="majorHAnsi"/>
                <w:sz w:val="20"/>
                <w:szCs w:val="20"/>
              </w:rPr>
              <w:t xml:space="preserve">outcomes achieved, </w:t>
            </w:r>
            <w:r w:rsidRPr="002E1730">
              <w:rPr>
                <w:rFonts w:asciiTheme="majorHAnsi" w:hAnsiTheme="majorHAnsi" w:cstheme="majorHAnsi"/>
                <w:sz w:val="20"/>
                <w:szCs w:val="20"/>
              </w:rPr>
              <w:t xml:space="preserve">the efficiency of the system, the </w:t>
            </w:r>
            <w:r w:rsidRPr="002E1730">
              <w:rPr>
                <w:rFonts w:asciiTheme="majorHAnsi" w:hAnsiTheme="majorHAnsi" w:cstheme="majorHAnsi"/>
                <w:sz w:val="20"/>
                <w:szCs w:val="20"/>
              </w:rPr>
              <w:lastRenderedPageBreak/>
              <w:t>effectiveness of the activity, and the quality of the implementation.</w:t>
            </w:r>
            <w:r w:rsidRPr="002E1730">
              <w:rPr>
                <w:rFonts w:asciiTheme="majorHAnsi" w:hAnsiTheme="majorHAnsi" w:cstheme="majorHAnsi"/>
                <w:sz w:val="20"/>
                <w:szCs w:val="20"/>
              </w:rPr>
              <w:br w:type="page"/>
            </w:r>
            <w:r w:rsidRPr="002E1730">
              <w:rPr>
                <w:rFonts w:asciiTheme="majorHAnsi" w:hAnsiTheme="majorHAnsi" w:cstheme="majorHAnsi"/>
                <w:sz w:val="20"/>
                <w:szCs w:val="20"/>
              </w:rPr>
              <w:br w:type="page"/>
            </w:r>
          </w:p>
          <w:p w:rsidR="00925A60" w:rsidRPr="008E594E" w:rsidRDefault="00925A60" w:rsidP="00925A60">
            <w:pPr>
              <w:pStyle w:val="ListParagraph"/>
              <w:numPr>
                <w:ilvl w:val="0"/>
                <w:numId w:val="1"/>
              </w:numPr>
              <w:spacing w:after="0" w:line="360" w:lineRule="auto"/>
              <w:jc w:val="both"/>
              <w:rPr>
                <w:color w:val="1F497D"/>
                <w:highlight w:val="yellow"/>
                <w:lang w:val="en-GB"/>
              </w:rPr>
            </w:pPr>
            <w:r w:rsidRPr="008E594E">
              <w:rPr>
                <w:rFonts w:asciiTheme="majorHAnsi" w:hAnsiTheme="majorHAnsi" w:cstheme="majorHAnsi"/>
                <w:b/>
                <w:bCs/>
                <w:sz w:val="20"/>
                <w:szCs w:val="20"/>
                <w:highlight w:val="yellow"/>
              </w:rPr>
              <w:t xml:space="preserve">Impact assessment: </w:t>
            </w:r>
            <w:r w:rsidRPr="008E594E">
              <w:rPr>
                <w:rFonts w:asciiTheme="majorHAnsi" w:hAnsiTheme="majorHAnsi" w:cstheme="majorHAnsi"/>
                <w:sz w:val="20"/>
                <w:szCs w:val="20"/>
                <w:highlight w:val="yellow"/>
              </w:rPr>
              <w:t>Costs have been included for an impact assessment to be conducted firstly by AMB during the preparatory period for Phase II, to provide additional support to 3,200 of the entrepreneurs supported during the phase I and u</w:t>
            </w:r>
            <w:r w:rsidRPr="008E594E">
              <w:rPr>
                <w:rFonts w:asciiTheme="majorHAnsi" w:hAnsiTheme="majorHAnsi" w:cstheme="majorHAnsi"/>
                <w:color w:val="000000" w:themeColor="text1"/>
                <w:sz w:val="20"/>
                <w:szCs w:val="20"/>
                <w:highlight w:val="yellow"/>
                <w:lang w:bidi="ar-YE"/>
              </w:rPr>
              <w:t xml:space="preserve">pon completion of the project (Phase II), second impact assessment will be carried out by </w:t>
            </w:r>
            <w:proofErr w:type="spellStart"/>
            <w:r w:rsidRPr="008E594E">
              <w:rPr>
                <w:rFonts w:asciiTheme="majorHAnsi" w:hAnsiTheme="majorHAnsi" w:cstheme="majorHAnsi"/>
                <w:color w:val="000000" w:themeColor="text1"/>
                <w:sz w:val="20"/>
                <w:szCs w:val="20"/>
                <w:highlight w:val="yellow"/>
                <w:lang w:bidi="ar-YE"/>
              </w:rPr>
              <w:t>Silatech</w:t>
            </w:r>
            <w:proofErr w:type="spellEnd"/>
            <w:r w:rsidRPr="008E594E">
              <w:rPr>
                <w:rFonts w:asciiTheme="majorHAnsi" w:hAnsiTheme="majorHAnsi" w:cstheme="majorHAnsi"/>
                <w:color w:val="000000" w:themeColor="text1"/>
                <w:sz w:val="20"/>
                <w:szCs w:val="20"/>
                <w:highlight w:val="yellow"/>
                <w:lang w:bidi="ar-YE"/>
              </w:rPr>
              <w:t xml:space="preserve"> or a Third-Party provider.  </w:t>
            </w:r>
          </w:p>
          <w:p w:rsidR="00925A60" w:rsidRDefault="00925A60" w:rsidP="00925A60">
            <w:pPr>
              <w:pStyle w:val="ListParagraph"/>
              <w:numPr>
                <w:ilvl w:val="0"/>
                <w:numId w:val="1"/>
              </w:numPr>
              <w:spacing w:after="0" w:line="360" w:lineRule="auto"/>
              <w:jc w:val="both"/>
              <w:rPr>
                <w:rFonts w:asciiTheme="majorHAnsi" w:hAnsiTheme="majorHAnsi" w:cstheme="majorHAnsi"/>
                <w:sz w:val="20"/>
                <w:szCs w:val="20"/>
              </w:rPr>
            </w:pPr>
            <w:r w:rsidRPr="007E5341">
              <w:rPr>
                <w:rFonts w:asciiTheme="majorHAnsi" w:hAnsiTheme="majorHAnsi" w:cstheme="majorHAnsi"/>
                <w:b/>
                <w:bCs/>
                <w:sz w:val="20"/>
                <w:szCs w:val="20"/>
              </w:rPr>
              <w:t xml:space="preserve">Visibility actions: </w:t>
            </w:r>
            <w:r>
              <w:rPr>
                <w:rFonts w:asciiTheme="majorHAnsi" w:hAnsiTheme="majorHAnsi" w:cstheme="majorHAnsi"/>
                <w:sz w:val="20"/>
                <w:szCs w:val="20"/>
              </w:rPr>
              <w:t>C</w:t>
            </w:r>
            <w:r w:rsidRPr="002E1730">
              <w:rPr>
                <w:rFonts w:asciiTheme="majorHAnsi" w:hAnsiTheme="majorHAnsi" w:cstheme="majorHAnsi"/>
                <w:sz w:val="20"/>
                <w:szCs w:val="20"/>
              </w:rPr>
              <w:t>osts have been budgeted in order publicize and ensure maximum transparency for the project including through social media platforms and websites.</w:t>
            </w:r>
            <w:r w:rsidRPr="002E1730">
              <w:rPr>
                <w:rFonts w:asciiTheme="majorHAnsi" w:hAnsiTheme="majorHAnsi" w:cstheme="majorHAnsi"/>
                <w:sz w:val="20"/>
                <w:szCs w:val="20"/>
              </w:rPr>
              <w:br w:type="page"/>
            </w:r>
            <w:r w:rsidRPr="002E1730">
              <w:rPr>
                <w:rFonts w:asciiTheme="majorHAnsi" w:hAnsiTheme="majorHAnsi" w:cstheme="majorHAnsi"/>
                <w:sz w:val="20"/>
                <w:szCs w:val="20"/>
              </w:rPr>
              <w:br w:type="page"/>
            </w:r>
          </w:p>
          <w:p w:rsidR="00925A60" w:rsidRPr="002E1730" w:rsidRDefault="00925A60" w:rsidP="00542B30">
            <w:pPr>
              <w:jc w:val="both"/>
              <w:rPr>
                <w:rFonts w:asciiTheme="majorHAnsi" w:hAnsiTheme="majorHAnsi" w:cstheme="majorHAnsi"/>
                <w:sz w:val="20"/>
                <w:szCs w:val="20"/>
              </w:rPr>
            </w:pPr>
          </w:p>
          <w:p w:rsidR="00925A60" w:rsidRDefault="00925A60" w:rsidP="00542B30">
            <w:pPr>
              <w:spacing w:line="360" w:lineRule="auto"/>
              <w:jc w:val="both"/>
              <w:rPr>
                <w:rFonts w:asciiTheme="majorHAnsi" w:hAnsiTheme="majorHAnsi" w:cstheme="majorHAnsi"/>
                <w:sz w:val="20"/>
                <w:szCs w:val="20"/>
              </w:rPr>
            </w:pPr>
            <w:r w:rsidRPr="002E1730">
              <w:rPr>
                <w:rFonts w:asciiTheme="majorHAnsi" w:hAnsiTheme="majorHAnsi" w:cstheme="majorHAnsi"/>
                <w:b/>
                <w:bCs/>
                <w:sz w:val="20"/>
                <w:szCs w:val="20"/>
              </w:rPr>
              <w:t xml:space="preserve">Costs: </w:t>
            </w:r>
            <w:r w:rsidRPr="002E1730">
              <w:rPr>
                <w:rFonts w:asciiTheme="majorHAnsi" w:hAnsiTheme="majorHAnsi" w:cstheme="majorHAnsi"/>
                <w:sz w:val="20"/>
                <w:szCs w:val="20"/>
              </w:rPr>
              <w:br w:type="page"/>
              <w:t xml:space="preserve">The total cost of the </w:t>
            </w:r>
            <w:r w:rsidRPr="00F55CD6">
              <w:rPr>
                <w:rFonts w:asciiTheme="majorHAnsi" w:hAnsiTheme="majorHAnsi" w:cstheme="majorHAnsi"/>
                <w:sz w:val="20"/>
                <w:szCs w:val="20"/>
              </w:rPr>
              <w:t xml:space="preserve">project is </w:t>
            </w:r>
            <w:r w:rsidRPr="00F55CD6">
              <w:rPr>
                <w:rFonts w:asciiTheme="majorHAnsi" w:hAnsiTheme="majorHAnsi" w:cstheme="majorHAnsi"/>
                <w:sz w:val="20"/>
                <w:szCs w:val="20"/>
                <w:lang w:val="en-GB"/>
              </w:rPr>
              <w:t>€</w:t>
            </w:r>
            <w:r>
              <w:rPr>
                <w:rFonts w:asciiTheme="majorHAnsi" w:hAnsiTheme="majorHAnsi" w:cstheme="majorHAnsi"/>
                <w:sz w:val="20"/>
                <w:szCs w:val="20"/>
              </w:rPr>
              <w:t>11</w:t>
            </w:r>
            <w:r w:rsidRPr="00B62ECA">
              <w:rPr>
                <w:rFonts w:asciiTheme="majorHAnsi" w:hAnsiTheme="majorHAnsi" w:cstheme="majorHAnsi"/>
                <w:sz w:val="20"/>
                <w:szCs w:val="20"/>
              </w:rPr>
              <w:t>,</w:t>
            </w:r>
            <w:r>
              <w:rPr>
                <w:rFonts w:asciiTheme="majorHAnsi" w:hAnsiTheme="majorHAnsi" w:cstheme="majorHAnsi"/>
                <w:sz w:val="20"/>
                <w:szCs w:val="20"/>
              </w:rPr>
              <w:t>000</w:t>
            </w:r>
            <w:r w:rsidRPr="00B62ECA">
              <w:rPr>
                <w:rFonts w:asciiTheme="majorHAnsi" w:hAnsiTheme="majorHAnsi" w:cstheme="majorHAnsi"/>
                <w:sz w:val="20"/>
                <w:szCs w:val="20"/>
              </w:rPr>
              <w:t>,</w:t>
            </w:r>
            <w:r>
              <w:rPr>
                <w:rFonts w:asciiTheme="majorHAnsi" w:hAnsiTheme="majorHAnsi" w:cstheme="majorHAnsi"/>
                <w:sz w:val="20"/>
                <w:szCs w:val="20"/>
              </w:rPr>
              <w:t>000</w:t>
            </w:r>
            <w:r w:rsidRPr="00F452DE">
              <w:rPr>
                <w:rFonts w:asciiTheme="majorHAnsi" w:hAnsiTheme="majorHAnsi" w:cstheme="majorHAnsi"/>
                <w:sz w:val="20"/>
                <w:szCs w:val="20"/>
              </w:rPr>
              <w:t xml:space="preserve"> </w:t>
            </w:r>
            <w:r w:rsidRPr="002E1730">
              <w:rPr>
                <w:rFonts w:asciiTheme="majorHAnsi" w:hAnsiTheme="majorHAnsi" w:cstheme="majorHAnsi"/>
                <w:sz w:val="20"/>
                <w:szCs w:val="20"/>
              </w:rPr>
              <w:t xml:space="preserve">with the EU </w:t>
            </w:r>
            <w:r w:rsidRPr="00F55CD6">
              <w:rPr>
                <w:rFonts w:asciiTheme="majorHAnsi" w:hAnsiTheme="majorHAnsi" w:cstheme="majorHAnsi"/>
                <w:sz w:val="20"/>
                <w:szCs w:val="20"/>
              </w:rPr>
              <w:t xml:space="preserve">contributing </w:t>
            </w:r>
            <w:r w:rsidRPr="00F55CD6">
              <w:rPr>
                <w:rFonts w:asciiTheme="majorHAnsi" w:hAnsiTheme="majorHAnsi" w:cstheme="majorHAnsi"/>
                <w:sz w:val="20"/>
                <w:szCs w:val="20"/>
                <w:lang w:val="en-GB"/>
              </w:rPr>
              <w:t>€10,000,000</w:t>
            </w:r>
            <w:r w:rsidRPr="00F55CD6">
              <w:rPr>
                <w:rFonts w:asciiTheme="majorHAnsi" w:hAnsiTheme="majorHAnsi" w:cstheme="majorHAnsi"/>
                <w:sz w:val="20"/>
                <w:szCs w:val="20"/>
              </w:rPr>
              <w:t>. Refer</w:t>
            </w:r>
            <w:r w:rsidRPr="002E1730">
              <w:rPr>
                <w:rFonts w:asciiTheme="majorHAnsi" w:hAnsiTheme="majorHAnsi" w:cstheme="majorHAnsi"/>
                <w:sz w:val="20"/>
                <w:szCs w:val="20"/>
              </w:rPr>
              <w:t xml:space="preserve"> to project budget for detailed breakdown of costs.</w:t>
            </w:r>
          </w:p>
        </w:tc>
        <w:tc>
          <w:tcPr>
            <w:tcW w:w="1022" w:type="pct"/>
            <w:vMerge w:val="restart"/>
            <w:vAlign w:val="center"/>
          </w:tcPr>
          <w:p w:rsidR="00925A60" w:rsidRPr="00EC0C2D" w:rsidRDefault="00925A60" w:rsidP="00542B30">
            <w:pPr>
              <w:spacing w:line="360" w:lineRule="auto"/>
              <w:rPr>
                <w:rFonts w:asciiTheme="majorHAnsi" w:hAnsiTheme="majorHAnsi" w:cstheme="majorHAnsi"/>
                <w:b/>
                <w:bCs/>
                <w:sz w:val="20"/>
                <w:szCs w:val="20"/>
              </w:rPr>
            </w:pPr>
            <w:r>
              <w:rPr>
                <w:rFonts w:asciiTheme="majorHAnsi" w:hAnsiTheme="majorHAnsi" w:cstheme="majorHAnsi"/>
                <w:b/>
                <w:bCs/>
                <w:sz w:val="20"/>
                <w:szCs w:val="20"/>
              </w:rPr>
              <w:lastRenderedPageBreak/>
              <w:t>A</w:t>
            </w:r>
            <w:r w:rsidRPr="00EC0C2D">
              <w:rPr>
                <w:rFonts w:asciiTheme="majorHAnsi" w:hAnsiTheme="majorHAnsi" w:cstheme="majorHAnsi"/>
                <w:b/>
                <w:bCs/>
                <w:sz w:val="20"/>
                <w:szCs w:val="20"/>
              </w:rPr>
              <w:t>ssumptions at activity level:</w:t>
            </w:r>
          </w:p>
          <w:p w:rsidR="00925A60" w:rsidRDefault="00925A60" w:rsidP="00542B30">
            <w:pPr>
              <w:spacing w:line="360" w:lineRule="auto"/>
              <w:rPr>
                <w:rFonts w:asciiTheme="majorHAnsi" w:hAnsiTheme="majorHAnsi" w:cstheme="majorHAnsi"/>
                <w:sz w:val="20"/>
                <w:szCs w:val="20"/>
              </w:rPr>
            </w:pPr>
          </w:p>
          <w:p w:rsidR="00925A60" w:rsidRPr="00EC0C2D" w:rsidRDefault="00925A60" w:rsidP="00542B30">
            <w:pPr>
              <w:spacing w:line="360" w:lineRule="auto"/>
              <w:jc w:val="both"/>
              <w:rPr>
                <w:rFonts w:cstheme="minorHAnsi"/>
                <w:sz w:val="20"/>
                <w:szCs w:val="20"/>
              </w:rPr>
            </w:pPr>
            <w:r w:rsidRPr="00A9773B">
              <w:rPr>
                <w:rFonts w:eastAsia="Times New Roman" w:cstheme="minorHAnsi"/>
                <w:color w:val="000000"/>
                <w:sz w:val="20"/>
                <w:szCs w:val="20"/>
              </w:rPr>
              <w:t>Communities and individuals are receptive of the project and its activities without fearing repercussions from</w:t>
            </w:r>
            <w:r w:rsidRPr="00EC0C2D">
              <w:rPr>
                <w:rFonts w:cstheme="minorHAnsi"/>
                <w:sz w:val="20"/>
                <w:szCs w:val="20"/>
              </w:rPr>
              <w:t xml:space="preserve"> peers and/or other actors</w:t>
            </w:r>
          </w:p>
          <w:p w:rsidR="00925A60" w:rsidRPr="00EC0C2D" w:rsidRDefault="00925A60" w:rsidP="00542B30">
            <w:pPr>
              <w:spacing w:line="360" w:lineRule="auto"/>
              <w:jc w:val="both"/>
              <w:rPr>
                <w:rFonts w:cstheme="minorHAnsi"/>
                <w:sz w:val="20"/>
                <w:szCs w:val="20"/>
              </w:rPr>
            </w:pPr>
          </w:p>
          <w:p w:rsidR="00925A60" w:rsidRPr="00EC0C2D" w:rsidRDefault="00925A60" w:rsidP="00542B30">
            <w:pPr>
              <w:spacing w:line="360" w:lineRule="auto"/>
              <w:jc w:val="both"/>
              <w:rPr>
                <w:rFonts w:cstheme="minorHAnsi"/>
                <w:sz w:val="20"/>
                <w:szCs w:val="20"/>
              </w:rPr>
            </w:pPr>
            <w:r w:rsidRPr="00EC0C2D">
              <w:rPr>
                <w:rFonts w:cstheme="minorHAnsi"/>
                <w:sz w:val="20"/>
                <w:szCs w:val="20"/>
              </w:rPr>
              <w:t>Entrepreneurs and business owners maintain their interest in the training processes and in the accompaniment and technical assistance strategies</w:t>
            </w:r>
          </w:p>
          <w:p w:rsidR="00925A60" w:rsidRPr="00EC0C2D" w:rsidRDefault="00925A60" w:rsidP="00542B30">
            <w:pPr>
              <w:spacing w:line="360" w:lineRule="auto"/>
              <w:jc w:val="both"/>
              <w:rPr>
                <w:rFonts w:cstheme="minorHAnsi"/>
                <w:sz w:val="20"/>
                <w:szCs w:val="20"/>
              </w:rPr>
            </w:pPr>
          </w:p>
          <w:p w:rsidR="00925A60" w:rsidRPr="00EC0C2D" w:rsidRDefault="00925A60" w:rsidP="00542B30">
            <w:pPr>
              <w:spacing w:line="360" w:lineRule="auto"/>
              <w:jc w:val="both"/>
              <w:rPr>
                <w:rFonts w:cstheme="minorHAnsi"/>
                <w:sz w:val="20"/>
                <w:szCs w:val="20"/>
              </w:rPr>
            </w:pPr>
            <w:r w:rsidRPr="00EC0C2D">
              <w:rPr>
                <w:rFonts w:cstheme="minorHAnsi"/>
                <w:sz w:val="20"/>
                <w:szCs w:val="20"/>
              </w:rPr>
              <w:t>Women are not restricted from participating in capacity building processes and entrepreneurship initiatives</w:t>
            </w:r>
          </w:p>
          <w:p w:rsidR="00925A60" w:rsidRPr="00EC0C2D" w:rsidRDefault="00925A60" w:rsidP="00542B30">
            <w:pPr>
              <w:spacing w:line="360" w:lineRule="auto"/>
              <w:jc w:val="both"/>
              <w:rPr>
                <w:rFonts w:cstheme="minorHAnsi"/>
                <w:sz w:val="20"/>
                <w:szCs w:val="20"/>
              </w:rPr>
            </w:pPr>
          </w:p>
          <w:p w:rsidR="00925A60" w:rsidRPr="00EC0C2D" w:rsidRDefault="00925A60" w:rsidP="00542B30">
            <w:pPr>
              <w:spacing w:line="360" w:lineRule="auto"/>
              <w:jc w:val="both"/>
              <w:rPr>
                <w:rFonts w:cstheme="minorHAnsi"/>
                <w:sz w:val="20"/>
                <w:szCs w:val="20"/>
              </w:rPr>
            </w:pPr>
            <w:r w:rsidRPr="00EC0C2D">
              <w:rPr>
                <w:rFonts w:cstheme="minorHAnsi"/>
                <w:sz w:val="20"/>
                <w:szCs w:val="20"/>
              </w:rPr>
              <w:t>Young people and entrepreneurs maintain their confidence in the financial system and the credit products offered by institutions</w:t>
            </w:r>
          </w:p>
          <w:p w:rsidR="00925A60" w:rsidRPr="00EC0C2D" w:rsidRDefault="00925A60" w:rsidP="00542B30">
            <w:pPr>
              <w:spacing w:line="360" w:lineRule="auto"/>
              <w:jc w:val="both"/>
              <w:rPr>
                <w:rFonts w:cstheme="minorHAnsi"/>
                <w:sz w:val="20"/>
                <w:szCs w:val="20"/>
              </w:rPr>
            </w:pPr>
          </w:p>
          <w:p w:rsidR="00925A60" w:rsidRPr="00EC0C2D" w:rsidRDefault="00925A60" w:rsidP="00542B30">
            <w:pPr>
              <w:spacing w:line="360" w:lineRule="auto"/>
              <w:jc w:val="both"/>
              <w:rPr>
                <w:rFonts w:cstheme="minorHAnsi"/>
                <w:sz w:val="20"/>
                <w:szCs w:val="20"/>
              </w:rPr>
            </w:pPr>
            <w:r w:rsidRPr="00EC0C2D">
              <w:rPr>
                <w:rFonts w:cstheme="minorHAnsi"/>
                <w:sz w:val="20"/>
                <w:szCs w:val="20"/>
              </w:rPr>
              <w:t>Financial institutions remain interested in the project and are willing to offer their products and services in the prioritized governorates.</w:t>
            </w:r>
          </w:p>
          <w:p w:rsidR="00925A60" w:rsidRPr="00EC0C2D" w:rsidRDefault="00925A60" w:rsidP="00542B30">
            <w:pPr>
              <w:spacing w:line="360" w:lineRule="auto"/>
              <w:jc w:val="both"/>
              <w:rPr>
                <w:rFonts w:cstheme="minorHAnsi"/>
                <w:sz w:val="20"/>
                <w:szCs w:val="20"/>
              </w:rPr>
            </w:pPr>
          </w:p>
          <w:p w:rsidR="00925A60" w:rsidRPr="00B03640" w:rsidRDefault="00925A60" w:rsidP="00542B30">
            <w:pPr>
              <w:spacing w:line="360" w:lineRule="auto"/>
              <w:jc w:val="both"/>
              <w:rPr>
                <w:rFonts w:cstheme="minorHAnsi"/>
                <w:sz w:val="20"/>
                <w:szCs w:val="20"/>
              </w:rPr>
            </w:pPr>
            <w:r w:rsidRPr="00EC0C2D">
              <w:rPr>
                <w:rFonts w:cstheme="minorHAnsi"/>
                <w:sz w:val="20"/>
                <w:szCs w:val="20"/>
              </w:rPr>
              <w:t>Local communities are willing to share information for the development of research and new financial products.</w:t>
            </w:r>
          </w:p>
        </w:tc>
      </w:tr>
      <w:tr w:rsidR="00925A60" w:rsidRPr="002E1730" w:rsidTr="00925A60">
        <w:trPr>
          <w:trHeight w:val="630"/>
        </w:trPr>
        <w:tc>
          <w:tcPr>
            <w:tcW w:w="198" w:type="pct"/>
            <w:vMerge/>
            <w:shd w:val="clear" w:color="auto" w:fill="7030A0"/>
            <w:hideMark/>
          </w:tcPr>
          <w:p w:rsidR="00925A60" w:rsidRPr="002E1730" w:rsidRDefault="00925A60" w:rsidP="00542B30">
            <w:pPr>
              <w:rPr>
                <w:rFonts w:asciiTheme="majorHAnsi" w:hAnsiTheme="majorHAnsi" w:cstheme="majorHAnsi"/>
                <w:b/>
                <w:bCs/>
                <w:sz w:val="20"/>
                <w:szCs w:val="20"/>
              </w:rPr>
            </w:pPr>
          </w:p>
        </w:tc>
        <w:tc>
          <w:tcPr>
            <w:tcW w:w="1051" w:type="pct"/>
            <w:hideMark/>
          </w:tcPr>
          <w:p w:rsidR="00925A60" w:rsidRDefault="00925A60" w:rsidP="00542B30">
            <w:pPr>
              <w:jc w:val="both"/>
              <w:rPr>
                <w:rFonts w:asciiTheme="majorHAnsi" w:hAnsiTheme="majorHAnsi" w:cstheme="majorHAnsi"/>
                <w:i/>
                <w:iCs/>
                <w:sz w:val="20"/>
                <w:szCs w:val="20"/>
              </w:rPr>
            </w:pPr>
          </w:p>
          <w:p w:rsidR="00925A60" w:rsidRPr="002E1730" w:rsidRDefault="00925A60" w:rsidP="00542B30">
            <w:pPr>
              <w:spacing w:line="360" w:lineRule="auto"/>
              <w:jc w:val="both"/>
              <w:rPr>
                <w:rFonts w:asciiTheme="majorHAnsi" w:hAnsiTheme="majorHAnsi" w:cstheme="majorHAnsi"/>
                <w:i/>
                <w:iCs/>
                <w:sz w:val="20"/>
                <w:szCs w:val="20"/>
              </w:rPr>
            </w:pPr>
            <w:r w:rsidRPr="002E1730">
              <w:rPr>
                <w:rFonts w:asciiTheme="majorHAnsi" w:hAnsiTheme="majorHAnsi" w:cstheme="majorHAnsi"/>
                <w:i/>
                <w:iCs/>
                <w:sz w:val="20"/>
                <w:szCs w:val="20"/>
              </w:rPr>
              <w:t xml:space="preserve">A0.2 </w:t>
            </w:r>
            <w:r w:rsidRPr="002E1730">
              <w:rPr>
                <w:sz w:val="20"/>
                <w:szCs w:val="20"/>
              </w:rPr>
              <w:t>Joint</w:t>
            </w:r>
            <w:r w:rsidRPr="002E1730">
              <w:rPr>
                <w:rFonts w:asciiTheme="majorHAnsi" w:hAnsiTheme="majorHAnsi" w:cstheme="majorHAnsi"/>
                <w:i/>
                <w:iCs/>
                <w:sz w:val="20"/>
                <w:szCs w:val="20"/>
              </w:rPr>
              <w:t xml:space="preserve"> preparation of: enhancement of training program, selection criteria (target governorate, targeted youth) and establishment plan </w:t>
            </w:r>
          </w:p>
        </w:tc>
        <w:tc>
          <w:tcPr>
            <w:tcW w:w="2729" w:type="pct"/>
            <w:gridSpan w:val="4"/>
            <w:vMerge/>
            <w:hideMark/>
          </w:tcPr>
          <w:p w:rsidR="00925A60" w:rsidRPr="002E1730" w:rsidRDefault="00925A60" w:rsidP="00542B30">
            <w:pPr>
              <w:rPr>
                <w:i/>
                <w:iCs/>
              </w:rPr>
            </w:pPr>
          </w:p>
        </w:tc>
        <w:tc>
          <w:tcPr>
            <w:tcW w:w="1022" w:type="pct"/>
            <w:vMerge/>
          </w:tcPr>
          <w:p w:rsidR="00925A60" w:rsidRPr="002E1730" w:rsidRDefault="00925A60" w:rsidP="00542B30">
            <w:pPr>
              <w:rPr>
                <w:i/>
                <w:iCs/>
              </w:rPr>
            </w:pPr>
          </w:p>
        </w:tc>
      </w:tr>
      <w:tr w:rsidR="00925A60" w:rsidRPr="002E1730" w:rsidTr="00925A60">
        <w:trPr>
          <w:trHeight w:val="255"/>
        </w:trPr>
        <w:tc>
          <w:tcPr>
            <w:tcW w:w="198" w:type="pct"/>
            <w:vMerge/>
            <w:shd w:val="clear" w:color="auto" w:fill="7030A0"/>
            <w:hideMark/>
          </w:tcPr>
          <w:p w:rsidR="00925A60" w:rsidRPr="002E1730" w:rsidRDefault="00925A60" w:rsidP="00542B30">
            <w:pPr>
              <w:rPr>
                <w:rFonts w:asciiTheme="majorHAnsi" w:hAnsiTheme="majorHAnsi" w:cstheme="majorHAnsi"/>
                <w:b/>
                <w:bCs/>
                <w:sz w:val="20"/>
                <w:szCs w:val="20"/>
              </w:rPr>
            </w:pPr>
          </w:p>
        </w:tc>
        <w:tc>
          <w:tcPr>
            <w:tcW w:w="1051" w:type="pct"/>
            <w:hideMark/>
          </w:tcPr>
          <w:p w:rsidR="00925A60" w:rsidRDefault="00925A60" w:rsidP="00542B30">
            <w:pPr>
              <w:jc w:val="both"/>
              <w:rPr>
                <w:rFonts w:asciiTheme="majorHAnsi" w:hAnsiTheme="majorHAnsi" w:cstheme="majorHAnsi"/>
                <w:i/>
                <w:iCs/>
                <w:sz w:val="20"/>
                <w:szCs w:val="20"/>
              </w:rPr>
            </w:pPr>
          </w:p>
          <w:p w:rsidR="00925A60" w:rsidRPr="002E1730" w:rsidRDefault="00925A60" w:rsidP="00542B30">
            <w:pPr>
              <w:spacing w:line="360" w:lineRule="auto"/>
              <w:jc w:val="both"/>
              <w:rPr>
                <w:rFonts w:asciiTheme="majorHAnsi" w:hAnsiTheme="majorHAnsi" w:cstheme="majorHAnsi"/>
                <w:i/>
                <w:iCs/>
                <w:sz w:val="20"/>
                <w:szCs w:val="20"/>
              </w:rPr>
            </w:pPr>
            <w:r w:rsidRPr="002E1730">
              <w:rPr>
                <w:rFonts w:asciiTheme="majorHAnsi" w:hAnsiTheme="majorHAnsi" w:cstheme="majorHAnsi"/>
                <w:i/>
                <w:iCs/>
                <w:sz w:val="20"/>
                <w:szCs w:val="20"/>
              </w:rPr>
              <w:t xml:space="preserve">A0.3 </w:t>
            </w:r>
            <w:r w:rsidRPr="002E1730">
              <w:rPr>
                <w:sz w:val="20"/>
                <w:szCs w:val="20"/>
              </w:rPr>
              <w:t>Identification</w:t>
            </w:r>
            <w:r w:rsidRPr="002E1730">
              <w:rPr>
                <w:rFonts w:asciiTheme="majorHAnsi" w:hAnsiTheme="majorHAnsi" w:cstheme="majorHAnsi"/>
                <w:i/>
                <w:iCs/>
                <w:sz w:val="20"/>
                <w:szCs w:val="20"/>
              </w:rPr>
              <w:t xml:space="preserve"> of </w:t>
            </w:r>
            <w:r>
              <w:rPr>
                <w:rFonts w:asciiTheme="majorHAnsi" w:hAnsiTheme="majorHAnsi" w:cstheme="majorHAnsi"/>
                <w:i/>
                <w:iCs/>
                <w:sz w:val="20"/>
                <w:szCs w:val="20"/>
              </w:rPr>
              <w:t>G</w:t>
            </w:r>
            <w:r w:rsidRPr="002E1730">
              <w:rPr>
                <w:rFonts w:asciiTheme="majorHAnsi" w:hAnsiTheme="majorHAnsi" w:cstheme="majorHAnsi"/>
                <w:i/>
                <w:iCs/>
                <w:sz w:val="20"/>
                <w:szCs w:val="20"/>
              </w:rPr>
              <w:t>overnorates</w:t>
            </w:r>
          </w:p>
        </w:tc>
        <w:tc>
          <w:tcPr>
            <w:tcW w:w="2729" w:type="pct"/>
            <w:gridSpan w:val="4"/>
            <w:vMerge/>
            <w:hideMark/>
          </w:tcPr>
          <w:p w:rsidR="00925A60" w:rsidRPr="002E1730" w:rsidRDefault="00925A60" w:rsidP="00542B30">
            <w:pPr>
              <w:rPr>
                <w:i/>
                <w:iCs/>
              </w:rPr>
            </w:pPr>
          </w:p>
        </w:tc>
        <w:tc>
          <w:tcPr>
            <w:tcW w:w="1022" w:type="pct"/>
            <w:vMerge/>
          </w:tcPr>
          <w:p w:rsidR="00925A60" w:rsidRPr="002E1730" w:rsidRDefault="00925A60" w:rsidP="00542B30">
            <w:pPr>
              <w:rPr>
                <w:i/>
                <w:iCs/>
              </w:rPr>
            </w:pPr>
          </w:p>
        </w:tc>
      </w:tr>
      <w:tr w:rsidR="00925A60" w:rsidRPr="002E1730" w:rsidTr="00925A60">
        <w:trPr>
          <w:trHeight w:val="540"/>
        </w:trPr>
        <w:tc>
          <w:tcPr>
            <w:tcW w:w="198" w:type="pct"/>
            <w:vMerge/>
            <w:shd w:val="clear" w:color="auto" w:fill="7030A0"/>
            <w:hideMark/>
          </w:tcPr>
          <w:p w:rsidR="00925A60" w:rsidRPr="002E1730" w:rsidRDefault="00925A60" w:rsidP="00542B30">
            <w:pPr>
              <w:rPr>
                <w:rFonts w:asciiTheme="majorHAnsi" w:hAnsiTheme="majorHAnsi" w:cstheme="majorHAnsi"/>
                <w:b/>
                <w:bCs/>
                <w:sz w:val="20"/>
                <w:szCs w:val="20"/>
              </w:rPr>
            </w:pPr>
          </w:p>
        </w:tc>
        <w:tc>
          <w:tcPr>
            <w:tcW w:w="1051" w:type="pct"/>
            <w:hideMark/>
          </w:tcPr>
          <w:p w:rsidR="00925A60" w:rsidRPr="002E1730" w:rsidRDefault="00925A60" w:rsidP="00542B30">
            <w:pPr>
              <w:spacing w:line="360" w:lineRule="auto"/>
              <w:jc w:val="both"/>
              <w:rPr>
                <w:rFonts w:asciiTheme="majorHAnsi" w:hAnsiTheme="majorHAnsi" w:cstheme="majorHAnsi"/>
                <w:i/>
                <w:iCs/>
                <w:sz w:val="20"/>
                <w:szCs w:val="20"/>
              </w:rPr>
            </w:pPr>
            <w:r w:rsidRPr="002E1730">
              <w:rPr>
                <w:rFonts w:asciiTheme="majorHAnsi" w:hAnsiTheme="majorHAnsi" w:cstheme="majorHAnsi"/>
                <w:i/>
                <w:iCs/>
                <w:sz w:val="20"/>
                <w:szCs w:val="20"/>
              </w:rPr>
              <w:t xml:space="preserve">A0.4 Enhancement of </w:t>
            </w:r>
            <w:r>
              <w:rPr>
                <w:rFonts w:asciiTheme="majorHAnsi" w:hAnsiTheme="majorHAnsi" w:cstheme="majorHAnsi"/>
                <w:i/>
                <w:iCs/>
                <w:sz w:val="20"/>
                <w:szCs w:val="20"/>
              </w:rPr>
              <w:t>c</w:t>
            </w:r>
            <w:r w:rsidRPr="002E1730">
              <w:rPr>
                <w:rFonts w:asciiTheme="majorHAnsi" w:hAnsiTheme="majorHAnsi" w:cstheme="majorHAnsi"/>
                <w:i/>
                <w:iCs/>
                <w:sz w:val="20"/>
                <w:szCs w:val="20"/>
              </w:rPr>
              <w:t xml:space="preserve">ommunication and visibility strategy </w:t>
            </w:r>
          </w:p>
        </w:tc>
        <w:tc>
          <w:tcPr>
            <w:tcW w:w="2729" w:type="pct"/>
            <w:gridSpan w:val="4"/>
            <w:vMerge/>
            <w:hideMark/>
          </w:tcPr>
          <w:p w:rsidR="00925A60" w:rsidRPr="002E1730" w:rsidRDefault="00925A60" w:rsidP="00542B30">
            <w:pPr>
              <w:rPr>
                <w:i/>
                <w:iCs/>
              </w:rPr>
            </w:pPr>
          </w:p>
        </w:tc>
        <w:tc>
          <w:tcPr>
            <w:tcW w:w="1022" w:type="pct"/>
            <w:vMerge/>
          </w:tcPr>
          <w:p w:rsidR="00925A60" w:rsidRPr="002E1730" w:rsidRDefault="00925A60" w:rsidP="00542B30">
            <w:pPr>
              <w:rPr>
                <w:i/>
                <w:iCs/>
              </w:rPr>
            </w:pPr>
          </w:p>
        </w:tc>
      </w:tr>
      <w:tr w:rsidR="00925A60" w:rsidRPr="002E1730" w:rsidTr="00925A60">
        <w:trPr>
          <w:trHeight w:val="270"/>
        </w:trPr>
        <w:tc>
          <w:tcPr>
            <w:tcW w:w="198" w:type="pct"/>
            <w:vMerge/>
            <w:shd w:val="clear" w:color="auto" w:fill="7030A0"/>
            <w:hideMark/>
          </w:tcPr>
          <w:p w:rsidR="00925A60" w:rsidRPr="002E1730" w:rsidRDefault="00925A60" w:rsidP="00542B30">
            <w:pPr>
              <w:rPr>
                <w:rFonts w:asciiTheme="majorHAnsi" w:hAnsiTheme="majorHAnsi" w:cstheme="majorHAnsi"/>
                <w:b/>
                <w:bCs/>
                <w:sz w:val="20"/>
                <w:szCs w:val="20"/>
              </w:rPr>
            </w:pPr>
          </w:p>
        </w:tc>
        <w:tc>
          <w:tcPr>
            <w:tcW w:w="1051" w:type="pct"/>
            <w:hideMark/>
          </w:tcPr>
          <w:p w:rsidR="00925A60" w:rsidRPr="008E594E" w:rsidRDefault="00925A60" w:rsidP="00542B30">
            <w:pPr>
              <w:jc w:val="both"/>
              <w:rPr>
                <w:rFonts w:asciiTheme="majorHAnsi" w:hAnsiTheme="majorHAnsi" w:cstheme="majorHAnsi"/>
                <w:i/>
                <w:iCs/>
                <w:sz w:val="20"/>
                <w:szCs w:val="20"/>
                <w:highlight w:val="yellow"/>
              </w:rPr>
            </w:pPr>
          </w:p>
          <w:p w:rsidR="00925A60" w:rsidRPr="008E594E" w:rsidRDefault="00925A60" w:rsidP="00542B30">
            <w:pPr>
              <w:spacing w:line="360" w:lineRule="auto"/>
              <w:jc w:val="both"/>
              <w:rPr>
                <w:rFonts w:asciiTheme="majorHAnsi" w:hAnsiTheme="majorHAnsi" w:cstheme="majorHAnsi"/>
                <w:i/>
                <w:iCs/>
                <w:sz w:val="20"/>
                <w:szCs w:val="20"/>
                <w:highlight w:val="yellow"/>
              </w:rPr>
            </w:pPr>
            <w:r w:rsidRPr="008E594E">
              <w:rPr>
                <w:rFonts w:asciiTheme="majorHAnsi" w:hAnsiTheme="majorHAnsi" w:cstheme="majorHAnsi"/>
                <w:i/>
                <w:iCs/>
                <w:sz w:val="20"/>
                <w:szCs w:val="20"/>
                <w:highlight w:val="yellow"/>
              </w:rPr>
              <w:t xml:space="preserve">A0.5 </w:t>
            </w:r>
            <w:r w:rsidRPr="008E594E">
              <w:rPr>
                <w:sz w:val="20"/>
                <w:szCs w:val="20"/>
                <w:highlight w:val="yellow"/>
              </w:rPr>
              <w:t>Provision</w:t>
            </w:r>
            <w:r w:rsidRPr="008E594E">
              <w:rPr>
                <w:rFonts w:asciiTheme="majorHAnsi" w:hAnsiTheme="majorHAnsi" w:cstheme="majorHAnsi"/>
                <w:i/>
                <w:iCs/>
                <w:sz w:val="20"/>
                <w:szCs w:val="20"/>
                <w:highlight w:val="yellow"/>
              </w:rPr>
              <w:t xml:space="preserve"> of Training</w:t>
            </w:r>
          </w:p>
        </w:tc>
        <w:tc>
          <w:tcPr>
            <w:tcW w:w="2729" w:type="pct"/>
            <w:gridSpan w:val="4"/>
            <w:vMerge/>
            <w:hideMark/>
          </w:tcPr>
          <w:p w:rsidR="00925A60" w:rsidRPr="002E1730" w:rsidRDefault="00925A60" w:rsidP="00542B30">
            <w:pPr>
              <w:rPr>
                <w:i/>
                <w:iCs/>
              </w:rPr>
            </w:pPr>
          </w:p>
        </w:tc>
        <w:tc>
          <w:tcPr>
            <w:tcW w:w="1022" w:type="pct"/>
            <w:vMerge/>
          </w:tcPr>
          <w:p w:rsidR="00925A60" w:rsidRPr="002E1730" w:rsidRDefault="00925A60" w:rsidP="00542B30">
            <w:pPr>
              <w:rPr>
                <w:i/>
                <w:iCs/>
              </w:rPr>
            </w:pPr>
          </w:p>
        </w:tc>
      </w:tr>
      <w:tr w:rsidR="00925A60" w:rsidRPr="002E1730" w:rsidTr="00925A60">
        <w:trPr>
          <w:trHeight w:val="825"/>
        </w:trPr>
        <w:tc>
          <w:tcPr>
            <w:tcW w:w="198" w:type="pct"/>
            <w:vMerge/>
            <w:shd w:val="clear" w:color="auto" w:fill="7030A0"/>
            <w:hideMark/>
          </w:tcPr>
          <w:p w:rsidR="00925A60" w:rsidRPr="002E1730" w:rsidRDefault="00925A60" w:rsidP="00542B30">
            <w:pPr>
              <w:rPr>
                <w:rFonts w:asciiTheme="majorHAnsi" w:hAnsiTheme="majorHAnsi" w:cstheme="majorHAnsi"/>
                <w:b/>
                <w:bCs/>
                <w:sz w:val="20"/>
                <w:szCs w:val="20"/>
              </w:rPr>
            </w:pPr>
          </w:p>
        </w:tc>
        <w:tc>
          <w:tcPr>
            <w:tcW w:w="1051" w:type="pct"/>
            <w:hideMark/>
          </w:tcPr>
          <w:p w:rsidR="00925A60" w:rsidRDefault="00925A60" w:rsidP="00542B30">
            <w:pPr>
              <w:jc w:val="both"/>
              <w:rPr>
                <w:rFonts w:asciiTheme="majorHAnsi" w:hAnsiTheme="majorHAnsi" w:cstheme="majorHAnsi"/>
                <w:i/>
                <w:iCs/>
                <w:sz w:val="20"/>
                <w:szCs w:val="20"/>
              </w:rPr>
            </w:pPr>
          </w:p>
          <w:p w:rsidR="00925A60" w:rsidRPr="002E1730" w:rsidRDefault="00925A60" w:rsidP="00542B30">
            <w:pPr>
              <w:spacing w:line="360" w:lineRule="auto"/>
              <w:jc w:val="both"/>
              <w:rPr>
                <w:rFonts w:asciiTheme="majorHAnsi" w:hAnsiTheme="majorHAnsi" w:cstheme="majorHAnsi"/>
                <w:i/>
                <w:iCs/>
                <w:sz w:val="20"/>
                <w:szCs w:val="20"/>
              </w:rPr>
            </w:pPr>
            <w:r w:rsidRPr="002E1730">
              <w:rPr>
                <w:rFonts w:asciiTheme="majorHAnsi" w:hAnsiTheme="majorHAnsi" w:cstheme="majorHAnsi"/>
                <w:i/>
                <w:iCs/>
                <w:sz w:val="20"/>
                <w:szCs w:val="20"/>
              </w:rPr>
              <w:t xml:space="preserve">A1.1 Joint </w:t>
            </w:r>
            <w:r w:rsidRPr="002E1730">
              <w:rPr>
                <w:sz w:val="20"/>
                <w:szCs w:val="20"/>
              </w:rPr>
              <w:t>preparation</w:t>
            </w:r>
            <w:r w:rsidRPr="002E1730">
              <w:rPr>
                <w:rFonts w:asciiTheme="majorHAnsi" w:hAnsiTheme="majorHAnsi" w:cstheme="majorHAnsi"/>
                <w:i/>
                <w:iCs/>
                <w:sz w:val="20"/>
                <w:szCs w:val="20"/>
              </w:rPr>
              <w:t xml:space="preserve"> of: design of Grant system scheme (this includes but is not limited to management plan of funds) and establishment plan. </w:t>
            </w:r>
          </w:p>
        </w:tc>
        <w:tc>
          <w:tcPr>
            <w:tcW w:w="2729" w:type="pct"/>
            <w:gridSpan w:val="4"/>
            <w:vMerge/>
            <w:hideMark/>
          </w:tcPr>
          <w:p w:rsidR="00925A60" w:rsidRPr="002E1730" w:rsidRDefault="00925A60" w:rsidP="00542B30">
            <w:pPr>
              <w:rPr>
                <w:i/>
                <w:iCs/>
              </w:rPr>
            </w:pPr>
          </w:p>
        </w:tc>
        <w:tc>
          <w:tcPr>
            <w:tcW w:w="1022" w:type="pct"/>
            <w:vMerge/>
          </w:tcPr>
          <w:p w:rsidR="00925A60" w:rsidRPr="002E1730" w:rsidRDefault="00925A60" w:rsidP="00542B30">
            <w:pPr>
              <w:rPr>
                <w:i/>
                <w:iCs/>
              </w:rPr>
            </w:pPr>
          </w:p>
        </w:tc>
      </w:tr>
      <w:tr w:rsidR="00925A60" w:rsidRPr="002E1730" w:rsidTr="00925A60">
        <w:trPr>
          <w:trHeight w:val="975"/>
        </w:trPr>
        <w:tc>
          <w:tcPr>
            <w:tcW w:w="198" w:type="pct"/>
            <w:vMerge/>
            <w:shd w:val="clear" w:color="auto" w:fill="7030A0"/>
            <w:hideMark/>
          </w:tcPr>
          <w:p w:rsidR="00925A60" w:rsidRPr="002E1730" w:rsidRDefault="00925A60" w:rsidP="00542B30">
            <w:pPr>
              <w:rPr>
                <w:rFonts w:asciiTheme="majorHAnsi" w:hAnsiTheme="majorHAnsi" w:cstheme="majorHAnsi"/>
                <w:b/>
                <w:bCs/>
                <w:sz w:val="20"/>
                <w:szCs w:val="20"/>
              </w:rPr>
            </w:pPr>
          </w:p>
        </w:tc>
        <w:tc>
          <w:tcPr>
            <w:tcW w:w="1051" w:type="pct"/>
            <w:hideMark/>
          </w:tcPr>
          <w:p w:rsidR="00925A60" w:rsidRDefault="00925A60" w:rsidP="00542B30">
            <w:pPr>
              <w:jc w:val="both"/>
              <w:rPr>
                <w:rFonts w:asciiTheme="majorHAnsi" w:hAnsiTheme="majorHAnsi" w:cstheme="majorHAnsi"/>
                <w:i/>
                <w:iCs/>
                <w:sz w:val="20"/>
                <w:szCs w:val="20"/>
              </w:rPr>
            </w:pPr>
          </w:p>
          <w:p w:rsidR="00925A60" w:rsidRPr="002E1730" w:rsidRDefault="00925A60" w:rsidP="00542B30">
            <w:pPr>
              <w:spacing w:line="360" w:lineRule="auto"/>
              <w:jc w:val="both"/>
              <w:rPr>
                <w:rFonts w:asciiTheme="majorHAnsi" w:hAnsiTheme="majorHAnsi" w:cstheme="majorHAnsi"/>
                <w:i/>
                <w:iCs/>
                <w:sz w:val="20"/>
                <w:szCs w:val="20"/>
              </w:rPr>
            </w:pPr>
            <w:r w:rsidRPr="002E1730">
              <w:rPr>
                <w:rFonts w:asciiTheme="majorHAnsi" w:hAnsiTheme="majorHAnsi" w:cstheme="majorHAnsi"/>
                <w:i/>
                <w:iCs/>
                <w:sz w:val="20"/>
                <w:szCs w:val="20"/>
              </w:rPr>
              <w:t xml:space="preserve">A1.2 Enhancement of operating structure, guidelines, policies and procedures, targeting </w:t>
            </w:r>
            <w:r w:rsidRPr="002E1730">
              <w:rPr>
                <w:rFonts w:asciiTheme="majorHAnsi" w:hAnsiTheme="majorHAnsi" w:cstheme="majorHAnsi"/>
                <w:i/>
                <w:iCs/>
                <w:sz w:val="20"/>
                <w:szCs w:val="20"/>
              </w:rPr>
              <w:lastRenderedPageBreak/>
              <w:t>criteria, creation of operational forms (applications, etc.) and exit strategy.</w:t>
            </w:r>
          </w:p>
        </w:tc>
        <w:tc>
          <w:tcPr>
            <w:tcW w:w="2729" w:type="pct"/>
            <w:gridSpan w:val="4"/>
            <w:vMerge/>
            <w:hideMark/>
          </w:tcPr>
          <w:p w:rsidR="00925A60" w:rsidRPr="002E1730" w:rsidRDefault="00925A60" w:rsidP="00542B30">
            <w:pPr>
              <w:rPr>
                <w:i/>
                <w:iCs/>
              </w:rPr>
            </w:pPr>
          </w:p>
        </w:tc>
        <w:tc>
          <w:tcPr>
            <w:tcW w:w="1022" w:type="pct"/>
            <w:vMerge/>
          </w:tcPr>
          <w:p w:rsidR="00925A60" w:rsidRPr="002E1730" w:rsidRDefault="00925A60" w:rsidP="00542B30">
            <w:pPr>
              <w:rPr>
                <w:i/>
                <w:iCs/>
              </w:rPr>
            </w:pPr>
          </w:p>
        </w:tc>
      </w:tr>
      <w:tr w:rsidR="00925A60" w:rsidRPr="002E1730" w:rsidTr="00925A60">
        <w:trPr>
          <w:trHeight w:val="300"/>
        </w:trPr>
        <w:tc>
          <w:tcPr>
            <w:tcW w:w="198" w:type="pct"/>
            <w:vMerge/>
            <w:shd w:val="clear" w:color="auto" w:fill="7030A0"/>
            <w:hideMark/>
          </w:tcPr>
          <w:p w:rsidR="00925A60" w:rsidRPr="002E1730" w:rsidRDefault="00925A60" w:rsidP="00542B30">
            <w:pPr>
              <w:rPr>
                <w:rFonts w:asciiTheme="majorHAnsi" w:hAnsiTheme="majorHAnsi" w:cstheme="majorHAnsi"/>
                <w:b/>
                <w:bCs/>
                <w:sz w:val="20"/>
                <w:szCs w:val="20"/>
              </w:rPr>
            </w:pPr>
          </w:p>
        </w:tc>
        <w:tc>
          <w:tcPr>
            <w:tcW w:w="1051" w:type="pct"/>
            <w:hideMark/>
          </w:tcPr>
          <w:p w:rsidR="00925A60" w:rsidRDefault="00925A60" w:rsidP="00542B30">
            <w:pPr>
              <w:jc w:val="both"/>
              <w:rPr>
                <w:rFonts w:asciiTheme="majorHAnsi" w:hAnsiTheme="majorHAnsi" w:cstheme="majorHAnsi"/>
                <w:i/>
                <w:iCs/>
                <w:sz w:val="20"/>
                <w:szCs w:val="20"/>
              </w:rPr>
            </w:pPr>
          </w:p>
          <w:p w:rsidR="00925A60" w:rsidRPr="002E1730" w:rsidRDefault="00925A60" w:rsidP="00542B30">
            <w:pPr>
              <w:spacing w:line="360" w:lineRule="auto"/>
              <w:jc w:val="both"/>
              <w:rPr>
                <w:rFonts w:asciiTheme="majorHAnsi" w:hAnsiTheme="majorHAnsi" w:cstheme="majorHAnsi"/>
                <w:i/>
                <w:iCs/>
                <w:sz w:val="20"/>
                <w:szCs w:val="20"/>
              </w:rPr>
            </w:pPr>
            <w:r w:rsidRPr="002E1730">
              <w:rPr>
                <w:rFonts w:asciiTheme="majorHAnsi" w:hAnsiTheme="majorHAnsi" w:cstheme="majorHAnsi"/>
                <w:i/>
                <w:iCs/>
                <w:sz w:val="20"/>
                <w:szCs w:val="20"/>
              </w:rPr>
              <w:t xml:space="preserve">A1.3 </w:t>
            </w:r>
            <w:r w:rsidRPr="002E1730">
              <w:rPr>
                <w:sz w:val="20"/>
                <w:szCs w:val="20"/>
              </w:rPr>
              <w:t>Provisioning</w:t>
            </w:r>
            <w:r w:rsidRPr="002E1730">
              <w:rPr>
                <w:rFonts w:asciiTheme="majorHAnsi" w:hAnsiTheme="majorHAnsi" w:cstheme="majorHAnsi"/>
                <w:i/>
                <w:iCs/>
                <w:sz w:val="20"/>
                <w:szCs w:val="20"/>
              </w:rPr>
              <w:t xml:space="preserve"> of Grants</w:t>
            </w:r>
          </w:p>
        </w:tc>
        <w:tc>
          <w:tcPr>
            <w:tcW w:w="2729" w:type="pct"/>
            <w:gridSpan w:val="4"/>
            <w:vMerge/>
            <w:hideMark/>
          </w:tcPr>
          <w:p w:rsidR="00925A60" w:rsidRPr="002E1730" w:rsidRDefault="00925A60" w:rsidP="00542B30">
            <w:pPr>
              <w:rPr>
                <w:i/>
                <w:iCs/>
              </w:rPr>
            </w:pPr>
          </w:p>
        </w:tc>
        <w:tc>
          <w:tcPr>
            <w:tcW w:w="1022" w:type="pct"/>
            <w:vMerge/>
          </w:tcPr>
          <w:p w:rsidR="00925A60" w:rsidRPr="002E1730" w:rsidRDefault="00925A60" w:rsidP="00542B30">
            <w:pPr>
              <w:rPr>
                <w:i/>
                <w:iCs/>
              </w:rPr>
            </w:pPr>
          </w:p>
        </w:tc>
      </w:tr>
      <w:tr w:rsidR="00925A60" w:rsidRPr="002E1730" w:rsidTr="00925A60">
        <w:trPr>
          <w:trHeight w:val="510"/>
        </w:trPr>
        <w:tc>
          <w:tcPr>
            <w:tcW w:w="198" w:type="pct"/>
            <w:vMerge/>
            <w:shd w:val="clear" w:color="auto" w:fill="7030A0"/>
            <w:hideMark/>
          </w:tcPr>
          <w:p w:rsidR="00925A60" w:rsidRPr="002E1730" w:rsidRDefault="00925A60" w:rsidP="00542B30">
            <w:pPr>
              <w:rPr>
                <w:rFonts w:asciiTheme="majorHAnsi" w:hAnsiTheme="majorHAnsi" w:cstheme="majorHAnsi"/>
                <w:b/>
                <w:bCs/>
                <w:sz w:val="20"/>
                <w:szCs w:val="20"/>
              </w:rPr>
            </w:pPr>
          </w:p>
        </w:tc>
        <w:tc>
          <w:tcPr>
            <w:tcW w:w="1051" w:type="pct"/>
            <w:hideMark/>
          </w:tcPr>
          <w:p w:rsidR="00925A60" w:rsidRDefault="00925A60" w:rsidP="00542B30">
            <w:pPr>
              <w:jc w:val="both"/>
              <w:rPr>
                <w:rFonts w:asciiTheme="majorHAnsi" w:hAnsiTheme="majorHAnsi" w:cstheme="majorHAnsi"/>
                <w:i/>
                <w:iCs/>
                <w:sz w:val="20"/>
                <w:szCs w:val="20"/>
              </w:rPr>
            </w:pPr>
          </w:p>
          <w:p w:rsidR="00925A60" w:rsidRPr="002E1730" w:rsidRDefault="00925A60" w:rsidP="00542B30">
            <w:pPr>
              <w:spacing w:line="360" w:lineRule="auto"/>
              <w:jc w:val="both"/>
              <w:rPr>
                <w:rFonts w:asciiTheme="majorHAnsi" w:hAnsiTheme="majorHAnsi" w:cstheme="majorHAnsi"/>
                <w:i/>
                <w:iCs/>
                <w:sz w:val="20"/>
                <w:szCs w:val="20"/>
              </w:rPr>
            </w:pPr>
            <w:r w:rsidRPr="002E1730">
              <w:rPr>
                <w:rFonts w:asciiTheme="majorHAnsi" w:hAnsiTheme="majorHAnsi" w:cstheme="majorHAnsi"/>
                <w:i/>
                <w:iCs/>
                <w:sz w:val="20"/>
                <w:szCs w:val="20"/>
              </w:rPr>
              <w:t xml:space="preserve">A2.1 Joint </w:t>
            </w:r>
            <w:r w:rsidRPr="002E1730">
              <w:rPr>
                <w:sz w:val="20"/>
                <w:szCs w:val="20"/>
              </w:rPr>
              <w:t>preparation</w:t>
            </w:r>
            <w:r w:rsidRPr="002E1730">
              <w:rPr>
                <w:rFonts w:asciiTheme="majorHAnsi" w:hAnsiTheme="majorHAnsi" w:cstheme="majorHAnsi"/>
                <w:i/>
                <w:iCs/>
                <w:sz w:val="20"/>
                <w:szCs w:val="20"/>
              </w:rPr>
              <w:t xml:space="preserve"> of: design of Monitoring and Evaluation, reporting system and format</w:t>
            </w:r>
          </w:p>
        </w:tc>
        <w:tc>
          <w:tcPr>
            <w:tcW w:w="2729" w:type="pct"/>
            <w:gridSpan w:val="4"/>
            <w:vMerge/>
            <w:hideMark/>
          </w:tcPr>
          <w:p w:rsidR="00925A60" w:rsidRPr="002E1730" w:rsidRDefault="00925A60" w:rsidP="00542B30">
            <w:pPr>
              <w:rPr>
                <w:i/>
                <w:iCs/>
              </w:rPr>
            </w:pPr>
          </w:p>
        </w:tc>
        <w:tc>
          <w:tcPr>
            <w:tcW w:w="1022" w:type="pct"/>
            <w:vMerge/>
          </w:tcPr>
          <w:p w:rsidR="00925A60" w:rsidRPr="002E1730" w:rsidRDefault="00925A60" w:rsidP="00542B30">
            <w:pPr>
              <w:rPr>
                <w:i/>
                <w:iCs/>
              </w:rPr>
            </w:pPr>
          </w:p>
        </w:tc>
      </w:tr>
      <w:tr w:rsidR="00925A60" w:rsidRPr="002E1730" w:rsidTr="00925A60">
        <w:trPr>
          <w:trHeight w:val="255"/>
        </w:trPr>
        <w:tc>
          <w:tcPr>
            <w:tcW w:w="198" w:type="pct"/>
            <w:vMerge/>
            <w:shd w:val="clear" w:color="auto" w:fill="7030A0"/>
            <w:hideMark/>
          </w:tcPr>
          <w:p w:rsidR="00925A60" w:rsidRPr="002E1730" w:rsidRDefault="00925A60" w:rsidP="00542B30">
            <w:pPr>
              <w:rPr>
                <w:rFonts w:asciiTheme="majorHAnsi" w:hAnsiTheme="majorHAnsi" w:cstheme="majorHAnsi"/>
                <w:b/>
                <w:bCs/>
                <w:sz w:val="20"/>
                <w:szCs w:val="20"/>
              </w:rPr>
            </w:pPr>
          </w:p>
        </w:tc>
        <w:tc>
          <w:tcPr>
            <w:tcW w:w="1051" w:type="pct"/>
            <w:hideMark/>
          </w:tcPr>
          <w:p w:rsidR="00925A60" w:rsidRDefault="00925A60" w:rsidP="00542B30">
            <w:pPr>
              <w:jc w:val="both"/>
              <w:rPr>
                <w:rFonts w:asciiTheme="majorHAnsi" w:hAnsiTheme="majorHAnsi" w:cstheme="majorHAnsi"/>
                <w:i/>
                <w:iCs/>
                <w:sz w:val="20"/>
                <w:szCs w:val="20"/>
              </w:rPr>
            </w:pPr>
          </w:p>
          <w:p w:rsidR="00925A60" w:rsidRPr="002E1730" w:rsidRDefault="00925A60" w:rsidP="00542B30">
            <w:pPr>
              <w:spacing w:line="360" w:lineRule="auto"/>
              <w:jc w:val="both"/>
              <w:rPr>
                <w:rFonts w:asciiTheme="majorHAnsi" w:hAnsiTheme="majorHAnsi" w:cstheme="majorHAnsi"/>
                <w:i/>
                <w:iCs/>
                <w:sz w:val="20"/>
                <w:szCs w:val="20"/>
              </w:rPr>
            </w:pPr>
            <w:r w:rsidRPr="002E1730">
              <w:rPr>
                <w:rFonts w:asciiTheme="majorHAnsi" w:hAnsiTheme="majorHAnsi" w:cstheme="majorHAnsi"/>
                <w:i/>
                <w:iCs/>
                <w:sz w:val="20"/>
                <w:szCs w:val="20"/>
              </w:rPr>
              <w:t xml:space="preserve">A2.2 </w:t>
            </w:r>
            <w:r w:rsidRPr="002E1730">
              <w:rPr>
                <w:sz w:val="20"/>
                <w:szCs w:val="20"/>
              </w:rPr>
              <w:t>Monitoring</w:t>
            </w:r>
            <w:r w:rsidRPr="002E1730">
              <w:rPr>
                <w:rFonts w:asciiTheme="majorHAnsi" w:hAnsiTheme="majorHAnsi" w:cstheme="majorHAnsi"/>
                <w:i/>
                <w:iCs/>
                <w:sz w:val="20"/>
                <w:szCs w:val="20"/>
              </w:rPr>
              <w:t xml:space="preserve"> of implementation</w:t>
            </w:r>
          </w:p>
        </w:tc>
        <w:tc>
          <w:tcPr>
            <w:tcW w:w="2729" w:type="pct"/>
            <w:gridSpan w:val="4"/>
            <w:vMerge/>
            <w:hideMark/>
          </w:tcPr>
          <w:p w:rsidR="00925A60" w:rsidRPr="002E1730" w:rsidRDefault="00925A60" w:rsidP="00542B30">
            <w:pPr>
              <w:rPr>
                <w:i/>
                <w:iCs/>
              </w:rPr>
            </w:pPr>
          </w:p>
        </w:tc>
        <w:tc>
          <w:tcPr>
            <w:tcW w:w="1022" w:type="pct"/>
            <w:vMerge/>
          </w:tcPr>
          <w:p w:rsidR="00925A60" w:rsidRPr="002E1730" w:rsidRDefault="00925A60" w:rsidP="00542B30">
            <w:pPr>
              <w:rPr>
                <w:i/>
                <w:iCs/>
              </w:rPr>
            </w:pPr>
          </w:p>
        </w:tc>
      </w:tr>
      <w:tr w:rsidR="00925A60" w:rsidRPr="002E1730" w:rsidTr="00925A60">
        <w:trPr>
          <w:trHeight w:val="300"/>
        </w:trPr>
        <w:tc>
          <w:tcPr>
            <w:tcW w:w="198" w:type="pct"/>
            <w:vMerge/>
            <w:shd w:val="clear" w:color="auto" w:fill="7030A0"/>
            <w:hideMark/>
          </w:tcPr>
          <w:p w:rsidR="00925A60" w:rsidRPr="002E1730" w:rsidRDefault="00925A60" w:rsidP="00542B30">
            <w:pPr>
              <w:rPr>
                <w:rFonts w:asciiTheme="majorHAnsi" w:hAnsiTheme="majorHAnsi" w:cstheme="majorHAnsi"/>
                <w:b/>
                <w:bCs/>
                <w:sz w:val="20"/>
                <w:szCs w:val="20"/>
              </w:rPr>
            </w:pPr>
          </w:p>
        </w:tc>
        <w:tc>
          <w:tcPr>
            <w:tcW w:w="1051" w:type="pct"/>
            <w:hideMark/>
          </w:tcPr>
          <w:p w:rsidR="00925A60" w:rsidRDefault="00925A60" w:rsidP="00542B30">
            <w:pPr>
              <w:jc w:val="both"/>
              <w:rPr>
                <w:rFonts w:asciiTheme="majorHAnsi" w:hAnsiTheme="majorHAnsi" w:cstheme="majorHAnsi"/>
                <w:i/>
                <w:iCs/>
                <w:sz w:val="20"/>
                <w:szCs w:val="20"/>
              </w:rPr>
            </w:pPr>
          </w:p>
          <w:p w:rsidR="00925A60" w:rsidRPr="002E1730" w:rsidRDefault="00925A60" w:rsidP="00542B30">
            <w:pPr>
              <w:spacing w:line="360" w:lineRule="auto"/>
              <w:jc w:val="both"/>
              <w:rPr>
                <w:rFonts w:asciiTheme="majorHAnsi" w:hAnsiTheme="majorHAnsi" w:cstheme="majorHAnsi"/>
                <w:i/>
                <w:iCs/>
                <w:sz w:val="20"/>
                <w:szCs w:val="20"/>
              </w:rPr>
            </w:pPr>
            <w:r w:rsidRPr="002E1730">
              <w:rPr>
                <w:rFonts w:asciiTheme="majorHAnsi" w:hAnsiTheme="majorHAnsi" w:cstheme="majorHAnsi"/>
                <w:i/>
                <w:iCs/>
                <w:sz w:val="20"/>
                <w:szCs w:val="20"/>
              </w:rPr>
              <w:t xml:space="preserve">A2.3 </w:t>
            </w:r>
            <w:r w:rsidRPr="002E1730">
              <w:rPr>
                <w:sz w:val="20"/>
                <w:szCs w:val="20"/>
              </w:rPr>
              <w:t>Development</w:t>
            </w:r>
            <w:r w:rsidRPr="002E1730">
              <w:rPr>
                <w:rFonts w:asciiTheme="majorHAnsi" w:hAnsiTheme="majorHAnsi" w:cstheme="majorHAnsi"/>
                <w:i/>
                <w:iCs/>
                <w:sz w:val="20"/>
                <w:szCs w:val="20"/>
              </w:rPr>
              <w:t xml:space="preserve"> of Sustainability Plan</w:t>
            </w:r>
          </w:p>
        </w:tc>
        <w:tc>
          <w:tcPr>
            <w:tcW w:w="2729" w:type="pct"/>
            <w:gridSpan w:val="4"/>
            <w:vMerge/>
            <w:hideMark/>
          </w:tcPr>
          <w:p w:rsidR="00925A60" w:rsidRPr="002E1730" w:rsidRDefault="00925A60" w:rsidP="00542B30">
            <w:pPr>
              <w:rPr>
                <w:i/>
                <w:iCs/>
              </w:rPr>
            </w:pPr>
          </w:p>
        </w:tc>
        <w:tc>
          <w:tcPr>
            <w:tcW w:w="1022" w:type="pct"/>
            <w:vMerge/>
          </w:tcPr>
          <w:p w:rsidR="00925A60" w:rsidRPr="002E1730" w:rsidRDefault="00925A60" w:rsidP="00542B30">
            <w:pPr>
              <w:rPr>
                <w:i/>
                <w:iCs/>
              </w:rPr>
            </w:pPr>
          </w:p>
        </w:tc>
      </w:tr>
      <w:tr w:rsidR="00925A60" w:rsidRPr="00CE1C29" w:rsidTr="00925A60">
        <w:trPr>
          <w:trHeight w:val="1331"/>
        </w:trPr>
        <w:tc>
          <w:tcPr>
            <w:tcW w:w="198" w:type="pct"/>
            <w:vMerge/>
            <w:shd w:val="clear" w:color="auto" w:fill="7030A0"/>
            <w:hideMark/>
          </w:tcPr>
          <w:p w:rsidR="00925A60" w:rsidRPr="002E1730" w:rsidRDefault="00925A60" w:rsidP="00542B30">
            <w:pPr>
              <w:rPr>
                <w:rFonts w:asciiTheme="majorHAnsi" w:hAnsiTheme="majorHAnsi" w:cstheme="majorHAnsi"/>
                <w:b/>
                <w:bCs/>
                <w:sz w:val="20"/>
                <w:szCs w:val="20"/>
              </w:rPr>
            </w:pPr>
          </w:p>
        </w:tc>
        <w:tc>
          <w:tcPr>
            <w:tcW w:w="1051" w:type="pct"/>
            <w:hideMark/>
          </w:tcPr>
          <w:p w:rsidR="00925A60" w:rsidRDefault="00925A60" w:rsidP="00542B30">
            <w:pPr>
              <w:jc w:val="both"/>
              <w:rPr>
                <w:rFonts w:asciiTheme="majorHAnsi" w:hAnsiTheme="majorHAnsi" w:cstheme="majorHAnsi"/>
                <w:i/>
                <w:iCs/>
                <w:sz w:val="20"/>
                <w:szCs w:val="20"/>
              </w:rPr>
            </w:pPr>
          </w:p>
          <w:p w:rsidR="00925A60" w:rsidRPr="00B03640" w:rsidRDefault="00925A60" w:rsidP="00542B30">
            <w:pPr>
              <w:spacing w:line="360" w:lineRule="auto"/>
              <w:jc w:val="both"/>
              <w:rPr>
                <w:rFonts w:asciiTheme="majorHAnsi" w:hAnsiTheme="majorHAnsi" w:cstheme="majorHAnsi"/>
                <w:sz w:val="20"/>
                <w:szCs w:val="20"/>
              </w:rPr>
            </w:pPr>
            <w:r w:rsidRPr="002E1730">
              <w:rPr>
                <w:rFonts w:asciiTheme="majorHAnsi" w:hAnsiTheme="majorHAnsi" w:cstheme="majorHAnsi"/>
                <w:i/>
                <w:iCs/>
                <w:sz w:val="20"/>
                <w:szCs w:val="20"/>
              </w:rPr>
              <w:t xml:space="preserve">A2.4 Final </w:t>
            </w:r>
            <w:r w:rsidRPr="002E1730">
              <w:rPr>
                <w:sz w:val="20"/>
                <w:szCs w:val="20"/>
              </w:rPr>
              <w:t>evaluation</w:t>
            </w:r>
            <w:r w:rsidRPr="002E1730">
              <w:rPr>
                <w:rFonts w:asciiTheme="majorHAnsi" w:hAnsiTheme="majorHAnsi" w:cstheme="majorHAnsi"/>
                <w:i/>
                <w:iCs/>
                <w:sz w:val="20"/>
                <w:szCs w:val="20"/>
              </w:rPr>
              <w:t xml:space="preserve"> and lessons learned for COST-led projects</w:t>
            </w:r>
          </w:p>
        </w:tc>
        <w:tc>
          <w:tcPr>
            <w:tcW w:w="2729" w:type="pct"/>
            <w:gridSpan w:val="4"/>
            <w:vMerge/>
            <w:hideMark/>
          </w:tcPr>
          <w:p w:rsidR="00925A60" w:rsidRPr="00CE1C29" w:rsidRDefault="00925A60" w:rsidP="00542B30">
            <w:pPr>
              <w:rPr>
                <w:i/>
                <w:iCs/>
              </w:rPr>
            </w:pPr>
          </w:p>
        </w:tc>
        <w:tc>
          <w:tcPr>
            <w:tcW w:w="1022" w:type="pct"/>
            <w:vMerge/>
          </w:tcPr>
          <w:p w:rsidR="00925A60" w:rsidRPr="00CE1C29" w:rsidRDefault="00925A60" w:rsidP="00542B30">
            <w:pPr>
              <w:rPr>
                <w:i/>
                <w:iCs/>
              </w:rPr>
            </w:pPr>
          </w:p>
        </w:tc>
      </w:tr>
    </w:tbl>
    <w:p w:rsidR="00925A60" w:rsidRDefault="00925A60"/>
    <w:sectPr w:rsidR="00925A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C7A81"/>
    <w:multiLevelType w:val="hybridMultilevel"/>
    <w:tmpl w:val="CE287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0403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60"/>
    <w:rsid w:val="008E594E"/>
    <w:rsid w:val="00925A60"/>
  </w:rsids>
  <m:mathPr>
    <m:mathFont m:val="Cambria Math"/>
    <m:brkBin m:val="before"/>
    <m:brkBinSub m:val="--"/>
    <m:smallFrac m:val="0"/>
    <m:dispDef/>
    <m:lMargin m:val="0"/>
    <m:rMargin m:val="0"/>
    <m:defJc m:val="centerGroup"/>
    <m:wrapIndent m:val="1440"/>
    <m:intLim m:val="subSup"/>
    <m:naryLim m:val="undOvr"/>
  </m:mathPr>
  <w:themeFontLang w:val="en-Y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BA4F43F-56AA-7C40-BF0D-FF77ED3D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Y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60"/>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25A60"/>
    <w:rPr>
      <w:color w:val="0000FF"/>
      <w:u w:val="single"/>
    </w:rPr>
  </w:style>
  <w:style w:type="paragraph" w:styleId="ListParagraph">
    <w:name w:val="List Paragraph"/>
    <w:aliases w:val="Premier,Numbered Paragraph,Main numbered paragraph,References,Numbered List Paragraph,123 List Paragraph,List Paragraph (numbered (a)),List Paragraph nowy,Liste 1,List_Paragraph,Multilevel para_II,List Paragraph1,Bullet paras,Dot pt,Table"/>
    <w:basedOn w:val="Normal"/>
    <w:link w:val="ListParagraphChar"/>
    <w:uiPriority w:val="34"/>
    <w:qFormat/>
    <w:rsid w:val="00925A60"/>
    <w:pPr>
      <w:spacing w:after="160" w:line="259" w:lineRule="auto"/>
      <w:ind w:left="720"/>
      <w:contextualSpacing/>
    </w:pPr>
    <w:rPr>
      <w:sz w:val="22"/>
      <w:szCs w:val="22"/>
    </w:rPr>
  </w:style>
  <w:style w:type="character" w:customStyle="1" w:styleId="ListParagraphChar">
    <w:name w:val="List Paragraph Char"/>
    <w:aliases w:val="Premier Char,Numbered Paragraph Char,Main numbered paragraph Char,References Char,Numbered List Paragraph Char,123 List Paragraph Char,List Paragraph (numbered (a)) Char,List Paragraph nowy Char,Liste 1 Char,List_Paragraph Char"/>
    <w:link w:val="ListParagraph"/>
    <w:uiPriority w:val="34"/>
    <w:qFormat/>
    <w:locked/>
    <w:rsid w:val="00925A60"/>
    <w:rPr>
      <w:kern w:val="0"/>
      <w:sz w:val="22"/>
      <w:szCs w:val="22"/>
      <w:lang w:val="en-US"/>
      <w14:ligatures w14:val="none"/>
    </w:rPr>
  </w:style>
  <w:style w:type="character" w:customStyle="1" w:styleId="cf01">
    <w:name w:val="cf01"/>
    <w:basedOn w:val="DefaultParagraphFont"/>
    <w:rsid w:val="00925A60"/>
    <w:rPr>
      <w:rFonts w:ascii="Segoe UI" w:hAnsi="Segoe UI" w:cs="Segoe UI" w:hint="default"/>
      <w:sz w:val="18"/>
      <w:szCs w:val="18"/>
    </w:rPr>
  </w:style>
  <w:style w:type="table" w:customStyle="1" w:styleId="TableGrid3">
    <w:name w:val="Table Grid3"/>
    <w:basedOn w:val="TableNormal"/>
    <w:next w:val="TableGrid"/>
    <w:uiPriority w:val="39"/>
    <w:rsid w:val="00925A60"/>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5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ed.stlouisfed.org/series/SLUEM1524ZSY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dhekra al-gabri</dc:creator>
  <cp:keywords/>
  <dc:description/>
  <cp:lastModifiedBy>dhekra al-gabri</cp:lastModifiedBy>
  <cp:revision>1</cp:revision>
  <dcterms:created xsi:type="dcterms:W3CDTF">2024-01-23T06:34:00Z</dcterms:created>
  <dcterms:modified xsi:type="dcterms:W3CDTF">2024-01-23T07:03:00Z</dcterms:modified>
</cp:coreProperties>
</file>